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eastAsia="黑体"/>
          <w:b/>
          <w:bCs/>
          <w:sz w:val="32"/>
        </w:rPr>
      </w:pPr>
    </w:p>
    <w:p>
      <w:pPr>
        <w:spacing w:line="460" w:lineRule="exact"/>
        <w:jc w:val="center"/>
        <w:rPr>
          <w:rFonts w:eastAsia="黑体"/>
          <w:b/>
          <w:bCs/>
          <w:sz w:val="32"/>
        </w:rPr>
      </w:pPr>
    </w:p>
    <w:p>
      <w:pPr>
        <w:spacing w:line="460" w:lineRule="exact"/>
        <w:jc w:val="center"/>
        <w:rPr>
          <w:rFonts w:eastAsia="黑体"/>
          <w:b/>
          <w:bCs/>
          <w:sz w:val="32"/>
        </w:rPr>
      </w:pPr>
    </w:p>
    <w:p>
      <w:pPr>
        <w:pStyle w:val="2"/>
        <w:spacing w:line="1200" w:lineRule="exact"/>
        <w:rPr>
          <w:sz w:val="52"/>
        </w:rPr>
      </w:pPr>
    </w:p>
    <w:p>
      <w:pPr>
        <w:pStyle w:val="2"/>
        <w:spacing w:line="1200" w:lineRule="exact"/>
        <w:rPr>
          <w:sz w:val="44"/>
          <w:szCs w:val="44"/>
        </w:rPr>
      </w:pPr>
      <w:r>
        <w:rPr>
          <w:rFonts w:hint="eastAsia"/>
          <w:sz w:val="44"/>
          <w:szCs w:val="44"/>
          <w:lang w:eastAsia="zh-CN"/>
        </w:rPr>
        <w:t>2021年丰泽</w:t>
      </w:r>
      <w:r>
        <w:rPr>
          <w:rFonts w:hint="eastAsia"/>
          <w:sz w:val="44"/>
          <w:szCs w:val="44"/>
        </w:rPr>
        <w:t>分公司</w:t>
      </w:r>
      <w:r>
        <w:rPr>
          <w:rFonts w:hint="eastAsia"/>
          <w:sz w:val="44"/>
          <w:szCs w:val="44"/>
          <w:lang w:eastAsia="zh-CN"/>
        </w:rPr>
        <w:t>市政府分前端机房</w:t>
      </w:r>
    </w:p>
    <w:p>
      <w:pPr>
        <w:pStyle w:val="2"/>
        <w:spacing w:line="1200" w:lineRule="exact"/>
        <w:rPr>
          <w:sz w:val="52"/>
        </w:rPr>
      </w:pPr>
      <w:r>
        <w:rPr>
          <w:rFonts w:hint="eastAsia"/>
          <w:sz w:val="44"/>
          <w:szCs w:val="44"/>
        </w:rPr>
        <w:t>设计说明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60" w:lineRule="exact"/>
        <w:jc w:val="center"/>
        <w:rPr>
          <w:sz w:val="28"/>
        </w:rPr>
      </w:pPr>
    </w:p>
    <w:p>
      <w:pPr>
        <w:spacing w:line="460" w:lineRule="exact"/>
        <w:jc w:val="center"/>
        <w:rPr>
          <w:sz w:val="28"/>
        </w:rPr>
      </w:pPr>
    </w:p>
    <w:p>
      <w:pPr>
        <w:spacing w:line="460" w:lineRule="exact"/>
        <w:jc w:val="center"/>
        <w:rPr>
          <w:sz w:val="28"/>
        </w:rPr>
      </w:pPr>
    </w:p>
    <w:p>
      <w:pPr>
        <w:spacing w:line="460" w:lineRule="exact"/>
        <w:jc w:val="center"/>
        <w:rPr>
          <w:sz w:val="28"/>
        </w:rPr>
      </w:pPr>
    </w:p>
    <w:p>
      <w:pPr>
        <w:spacing w:line="460" w:lineRule="exact"/>
        <w:jc w:val="center"/>
        <w:rPr>
          <w:sz w:val="28"/>
        </w:rPr>
      </w:pPr>
    </w:p>
    <w:p>
      <w:pPr>
        <w:spacing w:line="460" w:lineRule="exact"/>
        <w:jc w:val="center"/>
        <w:rPr>
          <w:rFonts w:eastAsia="黑体"/>
          <w:sz w:val="28"/>
        </w:rPr>
      </w:pPr>
    </w:p>
    <w:p>
      <w:pPr>
        <w:spacing w:line="460" w:lineRule="exact"/>
        <w:jc w:val="center"/>
        <w:rPr>
          <w:rFonts w:eastAsia="黑体"/>
          <w:sz w:val="28"/>
        </w:rPr>
      </w:pPr>
    </w:p>
    <w:p>
      <w:pPr>
        <w:spacing w:line="460" w:lineRule="exact"/>
        <w:jc w:val="center"/>
        <w:rPr>
          <w:rFonts w:eastAsia="黑体"/>
          <w:sz w:val="28"/>
        </w:rPr>
      </w:pPr>
    </w:p>
    <w:p>
      <w:pPr>
        <w:spacing w:line="460" w:lineRule="exact"/>
        <w:jc w:val="center"/>
        <w:rPr>
          <w:rFonts w:eastAsia="黑体"/>
          <w:sz w:val="28"/>
        </w:rPr>
      </w:pPr>
    </w:p>
    <w:p>
      <w:pPr>
        <w:spacing w:line="460" w:lineRule="exact"/>
        <w:jc w:val="center"/>
        <w:rPr>
          <w:rFonts w:eastAsia="黑体"/>
          <w:b/>
          <w:bCs/>
          <w:sz w:val="32"/>
        </w:rPr>
      </w:pPr>
    </w:p>
    <w:p>
      <w:pPr>
        <w:spacing w:line="700" w:lineRule="exact"/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福建广电网络实业发展有限公司</w:t>
      </w:r>
    </w:p>
    <w:p>
      <w:pPr>
        <w:spacing w:line="700" w:lineRule="exact"/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二O</w:t>
      </w:r>
      <w:r>
        <w:rPr>
          <w:rFonts w:hint="eastAsia" w:eastAsia="黑体"/>
          <w:b/>
          <w:bCs/>
          <w:sz w:val="32"/>
          <w:lang w:val="en-US" w:eastAsia="zh-CN"/>
        </w:rPr>
        <w:t>二一</w:t>
      </w:r>
      <w:r>
        <w:rPr>
          <w:rFonts w:hint="eastAsia" w:eastAsia="黑体"/>
          <w:b/>
          <w:bCs/>
          <w:sz w:val="32"/>
        </w:rPr>
        <w:t>年</w:t>
      </w:r>
      <w:r>
        <w:rPr>
          <w:rFonts w:hint="eastAsia" w:eastAsia="黑体"/>
          <w:b/>
          <w:bCs/>
          <w:sz w:val="32"/>
          <w:lang w:val="en-US" w:eastAsia="zh-CN"/>
        </w:rPr>
        <w:t>九</w:t>
      </w:r>
      <w:r>
        <w:rPr>
          <w:rFonts w:hint="eastAsia" w:eastAsia="黑体"/>
          <w:b/>
          <w:bCs/>
          <w:sz w:val="32"/>
        </w:rPr>
        <w:t>月</w:t>
      </w:r>
    </w:p>
    <w:p>
      <w:pPr>
        <w:spacing w:line="700" w:lineRule="exact"/>
        <w:jc w:val="center"/>
        <w:outlineLvl w:val="0"/>
        <w:rPr>
          <w:rFonts w:eastAsia="黑体"/>
          <w:b/>
          <w:bCs/>
          <w:sz w:val="32"/>
        </w:rPr>
      </w:pPr>
      <w:r>
        <w:rPr>
          <w:rFonts w:eastAsia="黑体"/>
          <w:b/>
          <w:bCs/>
          <w:sz w:val="32"/>
        </w:rPr>
        <w:br w:type="page"/>
      </w:r>
      <w:r>
        <w:rPr>
          <w:rFonts w:hint="eastAsia" w:eastAsia="黑体"/>
          <w:b/>
          <w:bCs/>
          <w:sz w:val="32"/>
        </w:rPr>
        <w:t>目录</w:t>
      </w:r>
    </w:p>
    <w:p>
      <w:pPr>
        <w:spacing w:line="600" w:lineRule="exact"/>
        <w:jc w:val="center"/>
        <w:rPr>
          <w:rFonts w:eastAsia="黑体"/>
          <w:b/>
          <w:bCs/>
          <w:sz w:val="32"/>
        </w:rPr>
      </w:pPr>
    </w:p>
    <w:p>
      <w:pPr>
        <w:numPr>
          <w:ilvl w:val="0"/>
          <w:numId w:val="1"/>
        </w:numPr>
        <w:spacing w:line="600" w:lineRule="exact"/>
        <w:rPr>
          <w:rFonts w:eastAsia="黑体"/>
          <w:sz w:val="28"/>
        </w:rPr>
      </w:pPr>
      <w:r>
        <w:rPr>
          <w:rFonts w:hint="eastAsia" w:eastAsia="黑体"/>
          <w:sz w:val="28"/>
        </w:rPr>
        <w:t>总体设计说明</w:t>
      </w:r>
    </w:p>
    <w:p>
      <w:pPr>
        <w:numPr>
          <w:ilvl w:val="0"/>
          <w:numId w:val="2"/>
        </w:numPr>
        <w:spacing w:line="600" w:lineRule="exact"/>
        <w:ind w:hanging="699"/>
        <w:rPr>
          <w:sz w:val="28"/>
        </w:rPr>
      </w:pPr>
      <w:r>
        <w:rPr>
          <w:rFonts w:hint="eastAsia"/>
          <w:sz w:val="28"/>
        </w:rPr>
        <w:t>工程概述</w:t>
      </w:r>
    </w:p>
    <w:p>
      <w:pPr>
        <w:numPr>
          <w:ilvl w:val="0"/>
          <w:numId w:val="2"/>
        </w:numPr>
        <w:spacing w:line="600" w:lineRule="exact"/>
        <w:ind w:hanging="699"/>
        <w:rPr>
          <w:sz w:val="28"/>
        </w:rPr>
      </w:pPr>
      <w:r>
        <w:rPr>
          <w:rFonts w:hint="eastAsia"/>
          <w:sz w:val="28"/>
        </w:rPr>
        <w:t>设计依据</w:t>
      </w:r>
    </w:p>
    <w:p>
      <w:pPr>
        <w:numPr>
          <w:ilvl w:val="0"/>
          <w:numId w:val="2"/>
        </w:numPr>
        <w:spacing w:line="600" w:lineRule="exact"/>
        <w:ind w:hanging="699"/>
        <w:rPr>
          <w:sz w:val="28"/>
        </w:rPr>
      </w:pPr>
      <w:r>
        <w:rPr>
          <w:rFonts w:hint="eastAsia"/>
          <w:bCs/>
          <w:sz w:val="28"/>
        </w:rPr>
        <w:t>设计思路与要点</w:t>
      </w:r>
    </w:p>
    <w:p>
      <w:pPr>
        <w:numPr>
          <w:ilvl w:val="0"/>
          <w:numId w:val="2"/>
        </w:numPr>
        <w:spacing w:line="600" w:lineRule="exact"/>
        <w:ind w:hanging="699"/>
        <w:rPr>
          <w:bCs/>
          <w:sz w:val="28"/>
        </w:rPr>
      </w:pPr>
      <w:r>
        <w:rPr>
          <w:rFonts w:hint="eastAsia"/>
          <w:bCs/>
          <w:sz w:val="28"/>
        </w:rPr>
        <w:t>布线设计</w:t>
      </w:r>
    </w:p>
    <w:p>
      <w:pPr>
        <w:numPr>
          <w:ilvl w:val="0"/>
          <w:numId w:val="2"/>
        </w:numPr>
        <w:spacing w:line="600" w:lineRule="exact"/>
        <w:ind w:hanging="699"/>
        <w:rPr>
          <w:bCs/>
          <w:sz w:val="28"/>
        </w:rPr>
      </w:pPr>
      <w:r>
        <w:rPr>
          <w:rFonts w:hint="eastAsia"/>
          <w:bCs/>
          <w:sz w:val="28"/>
        </w:rPr>
        <w:t>电气设计</w:t>
      </w:r>
    </w:p>
    <w:p>
      <w:pPr>
        <w:numPr>
          <w:ilvl w:val="0"/>
          <w:numId w:val="2"/>
        </w:numPr>
        <w:spacing w:line="600" w:lineRule="exact"/>
        <w:ind w:hanging="699"/>
        <w:rPr>
          <w:sz w:val="28"/>
        </w:rPr>
      </w:pPr>
      <w:r>
        <w:rPr>
          <w:rFonts w:hint="eastAsia"/>
          <w:bCs/>
          <w:sz w:val="28"/>
        </w:rPr>
        <w:t>空调设计</w:t>
      </w:r>
    </w:p>
    <w:p>
      <w:pPr>
        <w:spacing w:line="600" w:lineRule="exact"/>
        <w:ind w:left="426"/>
        <w:rPr>
          <w:sz w:val="28"/>
        </w:rPr>
      </w:pPr>
    </w:p>
    <w:p>
      <w:pPr>
        <w:spacing w:line="460" w:lineRule="exact"/>
        <w:rPr>
          <w:sz w:val="24"/>
        </w:rPr>
      </w:pPr>
    </w:p>
    <w:p>
      <w:pPr>
        <w:spacing w:line="45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br w:type="page"/>
      </w:r>
    </w:p>
    <w:p>
      <w:pPr>
        <w:numPr>
          <w:ilvl w:val="1"/>
          <w:numId w:val="2"/>
        </w:numPr>
        <w:spacing w:line="500" w:lineRule="exact"/>
        <w:jc w:val="center"/>
        <w:outlineLvl w:val="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总体设计说明</w:t>
      </w:r>
    </w:p>
    <w:p>
      <w:pPr>
        <w:spacing w:line="500" w:lineRule="exact"/>
        <w:ind w:left="420"/>
        <w:rPr>
          <w:sz w:val="24"/>
        </w:rPr>
      </w:pP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工程概述</w:t>
      </w:r>
    </w:p>
    <w:p>
      <w:pPr>
        <w:snapToGrid w:val="0"/>
        <w:spacing w:line="50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>本工程为</w:t>
      </w:r>
      <w:r>
        <w:rPr>
          <w:rFonts w:hint="eastAsia"/>
          <w:sz w:val="24"/>
          <w:lang w:eastAsia="zh-CN"/>
        </w:rPr>
        <w:t>2021年丰泽</w:t>
      </w:r>
      <w:r>
        <w:rPr>
          <w:rFonts w:hint="eastAsia"/>
          <w:sz w:val="24"/>
        </w:rPr>
        <w:t>分公司</w:t>
      </w:r>
      <w:r>
        <w:rPr>
          <w:rFonts w:hint="eastAsia"/>
          <w:sz w:val="24"/>
          <w:lang w:eastAsia="zh-CN"/>
        </w:rPr>
        <w:t>市政府分前端机房</w:t>
      </w:r>
      <w:r>
        <w:rPr>
          <w:rFonts w:hint="eastAsia"/>
          <w:sz w:val="24"/>
        </w:rPr>
        <w:t>建设工程，机房位于</w:t>
      </w:r>
      <w:r>
        <w:rPr>
          <w:rFonts w:hint="eastAsia"/>
          <w:sz w:val="24"/>
          <w:lang w:val="en-US" w:eastAsia="zh-CN"/>
        </w:rPr>
        <w:t>泉州市</w:t>
      </w:r>
      <w:r>
        <w:rPr>
          <w:rFonts w:hint="eastAsia"/>
          <w:sz w:val="24"/>
          <w:lang w:eastAsia="zh-CN"/>
        </w:rPr>
        <w:t>丰泽</w:t>
      </w:r>
      <w:r>
        <w:rPr>
          <w:rFonts w:hint="eastAsia"/>
          <w:sz w:val="24"/>
        </w:rPr>
        <w:t>区</w:t>
      </w:r>
      <w:r>
        <w:rPr>
          <w:rFonts w:hint="eastAsia"/>
          <w:sz w:val="24"/>
          <w:lang w:val="en-US" w:eastAsia="zh-CN"/>
        </w:rPr>
        <w:t>市政府</w:t>
      </w:r>
      <w:r>
        <w:rPr>
          <w:rFonts w:hint="eastAsia"/>
          <w:sz w:val="24"/>
        </w:rPr>
        <w:t>一层，机房面积</w:t>
      </w:r>
      <w:r>
        <w:rPr>
          <w:rFonts w:hint="eastAsia"/>
          <w:sz w:val="24"/>
          <w:lang w:val="en-US" w:eastAsia="zh-CN"/>
        </w:rPr>
        <w:t>49</w:t>
      </w:r>
      <w:r>
        <w:rPr>
          <w:rFonts w:hint="eastAsia"/>
          <w:sz w:val="24"/>
        </w:rPr>
        <w:t>m2。</w:t>
      </w:r>
    </w:p>
    <w:p>
      <w:pPr>
        <w:snapToGrid w:val="0"/>
        <w:spacing w:line="500" w:lineRule="atLeast"/>
        <w:ind w:firstLine="480" w:firstLineChars="200"/>
        <w:rPr>
          <w:b/>
          <w:bCs/>
          <w:sz w:val="28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b/>
          <w:bCs/>
          <w:sz w:val="28"/>
        </w:rPr>
        <w:t xml:space="preserve">                                   </w:t>
      </w: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设计依据</w:t>
      </w:r>
    </w:p>
    <w:p>
      <w:pPr>
        <w:spacing w:line="500" w:lineRule="exact"/>
        <w:rPr>
          <w:b/>
          <w:bCs/>
          <w:sz w:val="28"/>
        </w:rPr>
      </w:pPr>
    </w:p>
    <w:p>
      <w:pPr>
        <w:spacing w:line="500" w:lineRule="exac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《</w:t>
      </w:r>
      <w:r>
        <w:rPr>
          <w:rFonts w:hint="eastAsia"/>
          <w:sz w:val="24"/>
          <w:lang w:eastAsia="zh-CN"/>
        </w:rPr>
        <w:t>数据中心</w:t>
      </w:r>
      <w:r>
        <w:rPr>
          <w:rFonts w:hint="eastAsia"/>
          <w:sz w:val="24"/>
        </w:rPr>
        <w:t>设计规范》GB50174-20</w:t>
      </w:r>
      <w:r>
        <w:rPr>
          <w:rFonts w:hint="eastAsia"/>
          <w:sz w:val="24"/>
          <w:lang w:val="en-US" w:eastAsia="zh-CN"/>
        </w:rPr>
        <w:t>17</w:t>
      </w:r>
    </w:p>
    <w:p>
      <w:pPr>
        <w:spacing w:line="500" w:lineRule="exac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《</w:t>
      </w:r>
      <w:r>
        <w:rPr>
          <w:rFonts w:hint="eastAsia"/>
          <w:sz w:val="24"/>
          <w:lang w:eastAsia="zh-CN"/>
        </w:rPr>
        <w:t>数据中心基础设施</w:t>
      </w:r>
      <w:r>
        <w:rPr>
          <w:rFonts w:hint="eastAsia"/>
          <w:sz w:val="24"/>
        </w:rPr>
        <w:t>施工及验收规范》GB50462-20</w:t>
      </w:r>
      <w:r>
        <w:rPr>
          <w:rFonts w:hint="eastAsia"/>
          <w:sz w:val="24"/>
          <w:lang w:val="en-US" w:eastAsia="zh-CN"/>
        </w:rPr>
        <w:t>15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《电子计算机场地通用规范》GB/T2887-2011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《通信局（站）电源系统总技术要求》YD/T1051-2010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《通信电源设备安装设计规范》YD5040-2005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《建筑物防雷设计规范》GB50057-2010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《建筑物电子信息系统防雷技术规范》GB50343-2012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《建筑设计防火规范》GB50016-2014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《通讯设备安装抗震设计规范》YD5059-2005</w:t>
      </w:r>
    </w:p>
    <w:p>
      <w:pPr>
        <w:spacing w:line="500" w:lineRule="exac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《广播电影电视工程技术用房照明设计规范》GY/T5061-20</w:t>
      </w:r>
      <w:r>
        <w:rPr>
          <w:rFonts w:hint="eastAsia"/>
          <w:sz w:val="24"/>
          <w:lang w:val="en-US" w:eastAsia="zh-CN"/>
        </w:rPr>
        <w:t>15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《工业企业照明设计标准》GB50034-2013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《综合布线验收规范》GB50312-2007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《计算机机房用抗静电活动地板技术条件》SJ/T10796-2001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《安全防范工程</w:t>
      </w:r>
      <w:r>
        <w:rPr>
          <w:rFonts w:hint="eastAsia"/>
          <w:sz w:val="24"/>
          <w:lang w:eastAsia="zh-CN"/>
        </w:rPr>
        <w:t>技术规范</w:t>
      </w:r>
      <w:r>
        <w:rPr>
          <w:rFonts w:hint="eastAsia"/>
          <w:sz w:val="24"/>
        </w:rPr>
        <w:t>》</w:t>
      </w:r>
      <w:r>
        <w:rPr>
          <w:rFonts w:hint="eastAsia"/>
          <w:sz w:val="24"/>
          <w:lang w:val="en-US" w:eastAsia="zh-CN"/>
        </w:rPr>
        <w:t>GB50348-2018</w:t>
      </w:r>
    </w:p>
    <w:p>
      <w:pPr>
        <w:spacing w:line="500" w:lineRule="exac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《建筑玻璃应用技术规</w:t>
      </w:r>
      <w:r>
        <w:rPr>
          <w:rFonts w:hint="eastAsia"/>
          <w:sz w:val="24"/>
          <w:lang w:eastAsia="zh-CN"/>
        </w:rPr>
        <w:t>程</w:t>
      </w:r>
      <w:r>
        <w:rPr>
          <w:rFonts w:hint="eastAsia"/>
          <w:sz w:val="24"/>
        </w:rPr>
        <w:t>》</w:t>
      </w:r>
      <w:r>
        <w:rPr>
          <w:rFonts w:hint="eastAsia"/>
          <w:sz w:val="24"/>
          <w:lang w:val="en-US" w:eastAsia="zh-CN"/>
        </w:rPr>
        <w:t>JGJ</w:t>
      </w:r>
      <w:r>
        <w:rPr>
          <w:rFonts w:hint="eastAsia"/>
          <w:sz w:val="24"/>
        </w:rPr>
        <w:t>113-</w:t>
      </w:r>
      <w:r>
        <w:rPr>
          <w:rFonts w:hint="eastAsia"/>
          <w:sz w:val="24"/>
          <w:lang w:val="en-US" w:eastAsia="zh-CN"/>
        </w:rPr>
        <w:t>2015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《有线电视网络工程施工及验收规范》GY5073-2005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《市、县广播数字电视网设计规范》GY5063-1998</w:t>
      </w:r>
    </w:p>
    <w:p>
      <w:pPr>
        <w:tabs>
          <w:tab w:val="left" w:pos="540"/>
        </w:tabs>
        <w:spacing w:line="500" w:lineRule="exact"/>
        <w:ind w:firstLine="120" w:firstLineChars="50"/>
        <w:rPr>
          <w:sz w:val="24"/>
        </w:rPr>
      </w:pPr>
      <w:r>
        <w:rPr>
          <w:rFonts w:hint="eastAsia"/>
          <w:sz w:val="24"/>
        </w:rPr>
        <w:t>设计人员现场勘查获得的基础资料</w:t>
      </w:r>
    </w:p>
    <w:p>
      <w:pPr>
        <w:tabs>
          <w:tab w:val="left" w:pos="540"/>
        </w:tabs>
        <w:spacing w:line="500" w:lineRule="exact"/>
        <w:ind w:firstLine="120" w:firstLineChars="50"/>
        <w:rPr>
          <w:b/>
          <w:bCs/>
          <w:sz w:val="28"/>
        </w:rPr>
      </w:pPr>
      <w:r>
        <w:rPr>
          <w:rFonts w:hint="eastAsia"/>
          <w:sz w:val="24"/>
        </w:rPr>
        <w:t>设计过程中的</w:t>
      </w:r>
      <w:r>
        <w:rPr>
          <w:rFonts w:hint="eastAsia"/>
          <w:sz w:val="24"/>
          <w:lang w:eastAsia="zh-CN"/>
        </w:rPr>
        <w:t>丰泽</w:t>
      </w:r>
      <w:r>
        <w:rPr>
          <w:rFonts w:hint="eastAsia"/>
          <w:sz w:val="24"/>
        </w:rPr>
        <w:t>分公司对机房建设的具体要求及修改意见</w:t>
      </w: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设计思路与要点</w:t>
      </w:r>
    </w:p>
    <w:p>
      <w:pPr>
        <w:spacing w:line="500" w:lineRule="exact"/>
        <w:ind w:firstLine="435"/>
        <w:rPr>
          <w:sz w:val="24"/>
        </w:rPr>
      </w:pPr>
    </w:p>
    <w:p>
      <w:pPr>
        <w:spacing w:line="500" w:lineRule="exact"/>
        <w:ind w:firstLine="435"/>
        <w:rPr>
          <w:sz w:val="24"/>
        </w:rPr>
      </w:pPr>
      <w:r>
        <w:rPr>
          <w:rFonts w:hint="eastAsia"/>
          <w:sz w:val="24"/>
        </w:rPr>
        <w:t>1. 设计思路</w:t>
      </w:r>
    </w:p>
    <w:p>
      <w:pPr>
        <w:spacing w:line="500" w:lineRule="exact"/>
        <w:ind w:firstLine="435"/>
        <w:rPr>
          <w:sz w:val="24"/>
        </w:rPr>
      </w:pPr>
      <w:r>
        <w:rPr>
          <w:rFonts w:hint="eastAsia"/>
          <w:sz w:val="24"/>
          <w:lang w:eastAsia="zh-CN"/>
        </w:rPr>
        <w:t>丰泽</w:t>
      </w:r>
      <w:r>
        <w:rPr>
          <w:rFonts w:hint="eastAsia"/>
          <w:sz w:val="24"/>
        </w:rPr>
        <w:t>分公司</w:t>
      </w:r>
      <w:r>
        <w:rPr>
          <w:rFonts w:hint="eastAsia"/>
          <w:sz w:val="24"/>
          <w:lang w:eastAsia="zh-CN"/>
        </w:rPr>
        <w:t>市政府分前端机房</w:t>
      </w:r>
      <w:r>
        <w:rPr>
          <w:rFonts w:hint="eastAsia"/>
          <w:sz w:val="24"/>
        </w:rPr>
        <w:t>规划设计的思路：建造一个布局合理、电气稳定、安全可靠、绿色节能、适应未来发展的广播电视传输机房。</w:t>
      </w:r>
    </w:p>
    <w:p>
      <w:pPr>
        <w:spacing w:line="500" w:lineRule="exact"/>
        <w:ind w:firstLine="435"/>
        <w:rPr>
          <w:sz w:val="24"/>
        </w:rPr>
      </w:pPr>
      <w:r>
        <w:rPr>
          <w:rFonts w:hint="eastAsia"/>
          <w:sz w:val="24"/>
          <w:lang w:eastAsia="zh-CN"/>
        </w:rPr>
        <w:t>丰泽</w:t>
      </w:r>
      <w:r>
        <w:rPr>
          <w:rFonts w:hint="eastAsia"/>
          <w:sz w:val="24"/>
        </w:rPr>
        <w:t>分公司</w:t>
      </w:r>
      <w:r>
        <w:rPr>
          <w:rFonts w:hint="eastAsia"/>
          <w:sz w:val="24"/>
          <w:lang w:eastAsia="zh-CN"/>
        </w:rPr>
        <w:t>市政府分前端机房</w:t>
      </w:r>
      <w:r>
        <w:rPr>
          <w:rFonts w:hint="eastAsia"/>
          <w:sz w:val="24"/>
        </w:rPr>
        <w:t>总体规划：根据机房的环境和空间大小，将传输机柜和电源设备分区域放置，合理布局。</w:t>
      </w:r>
    </w:p>
    <w:p>
      <w:pPr>
        <w:spacing w:line="500" w:lineRule="exact"/>
        <w:ind w:firstLine="435"/>
        <w:rPr>
          <w:sz w:val="24"/>
        </w:rPr>
      </w:pPr>
      <w:r>
        <w:rPr>
          <w:rFonts w:hint="eastAsia"/>
          <w:sz w:val="24"/>
        </w:rPr>
        <w:t>机房平面布局，主要考虑电子设备对环境的要求、信号处理的工艺流程、操作人员的行走路线、设备及设施的合理间距、抗震防护等级、电源系统稳定可靠要求、空调设备对机柜设备制冷效果、电子设备对环境的洁净度要求、动力环境监控内容选择等诸多因素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 设计要点：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（1）装修：整洁、防尘、隔热、防水、防鼠、防盗。选用环保、无害、易清洁、防电磁干扰、防火等耐用材料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（2）布线：机柜布局、桥架线槽安装、线路保护、工艺布线。选用质量可靠的产品。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（3）电气：用电功率计算、供电线路配置、UPS主机和应急发电机配置、防电源浪涌保护、接地线路引入、安全保护接地。选用质量稳定可靠、合格许可的电气产品。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（4）空调：冷量计算、空调形式、气流组织、节能降耗。选用稳定可靠的商用空调。</w:t>
      </w:r>
    </w:p>
    <w:p>
      <w:pPr>
        <w:spacing w:line="500" w:lineRule="exact"/>
        <w:ind w:firstLine="435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动环监控：</w:t>
      </w:r>
      <w:r>
        <w:rPr>
          <w:rFonts w:hint="eastAsia"/>
          <w:sz w:val="24"/>
        </w:rPr>
        <w:t>监控内容、系统搭建、系统兼容。选用通用性强的知名品牌产品。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）消防：报警系统、自动气体灭火系统、手动灭火器。根据机房实际需要，合理配置消防设施。</w:t>
      </w:r>
    </w:p>
    <w:p>
      <w:pPr>
        <w:spacing w:line="500" w:lineRule="exact"/>
        <w:ind w:left="567" w:leftChars="270" w:firstLine="151" w:firstLineChars="63"/>
        <w:rPr>
          <w:sz w:val="24"/>
        </w:rPr>
      </w:pPr>
    </w:p>
    <w:p>
      <w:pPr>
        <w:spacing w:line="500" w:lineRule="exact"/>
        <w:ind w:left="567" w:leftChars="270" w:firstLine="151" w:firstLineChars="63"/>
        <w:rPr>
          <w:sz w:val="24"/>
        </w:rPr>
      </w:pPr>
    </w:p>
    <w:p>
      <w:pPr>
        <w:spacing w:line="500" w:lineRule="exact"/>
        <w:ind w:left="567" w:leftChars="270" w:firstLine="151" w:firstLineChars="63"/>
        <w:rPr>
          <w:sz w:val="24"/>
        </w:rPr>
      </w:pPr>
    </w:p>
    <w:p>
      <w:pPr>
        <w:spacing w:line="500" w:lineRule="exact"/>
        <w:ind w:firstLine="480" w:firstLineChars="200"/>
        <w:rPr>
          <w:rFonts w:hint="eastAsia"/>
          <w:sz w:val="24"/>
        </w:rPr>
      </w:pP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布线设计</w:t>
      </w:r>
    </w:p>
    <w:p>
      <w:pPr>
        <w:spacing w:line="500" w:lineRule="exact"/>
        <w:rPr>
          <w:b/>
          <w:bCs/>
          <w:sz w:val="28"/>
        </w:rPr>
      </w:pPr>
    </w:p>
    <w:p>
      <w:pPr>
        <w:numPr>
          <w:ilvl w:val="0"/>
          <w:numId w:val="4"/>
        </w:num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机柜、ODF架</w:t>
      </w:r>
    </w:p>
    <w:p>
      <w:pPr>
        <w:spacing w:line="500" w:lineRule="exact"/>
        <w:ind w:firstLine="480" w:firstLineChars="20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机房新增2</w:t>
      </w:r>
      <w:r>
        <w:rPr>
          <w:rFonts w:hint="eastAsia"/>
          <w:sz w:val="24"/>
        </w:rPr>
        <w:t>个传输机柜，机柜规格</w:t>
      </w:r>
      <w:r>
        <w:rPr>
          <w:sz w:val="24"/>
        </w:rPr>
        <w:t>600*</w:t>
      </w: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0</w:t>
      </w:r>
      <w:r>
        <w:rPr>
          <w:sz w:val="24"/>
        </w:rPr>
        <w:t>00*2</w:t>
      </w:r>
      <w:r>
        <w:rPr>
          <w:rFonts w:hint="eastAsia"/>
          <w:sz w:val="24"/>
          <w:lang w:val="en-US" w:eastAsia="zh-CN"/>
        </w:rPr>
        <w:t>0</w:t>
      </w:r>
      <w:r>
        <w:rPr>
          <w:sz w:val="24"/>
        </w:rPr>
        <w:t>00</w:t>
      </w:r>
      <w:r>
        <w:rPr>
          <w:rFonts w:hint="eastAsia"/>
          <w:sz w:val="24"/>
        </w:rPr>
        <w:t xml:space="preserve"> mm。传输机柜内配置两路</w:t>
      </w:r>
      <w:r>
        <w:rPr>
          <w:rFonts w:hint="eastAsia"/>
          <w:sz w:val="24"/>
          <w:lang w:val="en-US" w:eastAsia="zh-CN"/>
        </w:rPr>
        <w:t>16A或</w:t>
      </w:r>
      <w:r>
        <w:rPr>
          <w:rFonts w:hint="eastAsia"/>
          <w:sz w:val="24"/>
        </w:rPr>
        <w:t>32A电源插排，</w:t>
      </w:r>
      <w:r>
        <w:rPr>
          <w:rFonts w:hint="eastAsia"/>
          <w:sz w:val="24"/>
          <w:lang w:val="en-US" w:eastAsia="zh-CN"/>
        </w:rPr>
        <w:t>柜内垂直</w:t>
      </w:r>
      <w:r>
        <w:rPr>
          <w:rFonts w:hint="eastAsia"/>
          <w:sz w:val="24"/>
        </w:rPr>
        <w:t>安装，每路PDU要求1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个插口且</w:t>
      </w:r>
      <w:r>
        <w:rPr>
          <w:rFonts w:hint="eastAsia"/>
          <w:sz w:val="24"/>
          <w:lang w:val="en-US" w:eastAsia="zh-CN"/>
        </w:rPr>
        <w:t>至少</w:t>
      </w:r>
      <w:r>
        <w:rPr>
          <w:rFonts w:hint="eastAsia"/>
          <w:sz w:val="24"/>
        </w:rPr>
        <w:t>有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个16A插口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  <w:lang w:val="en-US" w:eastAsia="zh-CN"/>
        </w:rPr>
        <w:t>原有机柜保留，新增一16A或</w:t>
      </w:r>
      <w:r>
        <w:rPr>
          <w:rFonts w:hint="eastAsia"/>
          <w:sz w:val="24"/>
        </w:rPr>
        <w:t>32A电源插排，</w:t>
      </w:r>
      <w:r>
        <w:rPr>
          <w:rFonts w:hint="eastAsia"/>
          <w:sz w:val="24"/>
          <w:lang w:val="en-US" w:eastAsia="zh-CN"/>
        </w:rPr>
        <w:t>柜内垂直</w:t>
      </w:r>
      <w:r>
        <w:rPr>
          <w:rFonts w:hint="eastAsia"/>
          <w:sz w:val="24"/>
        </w:rPr>
        <w:t>安装</w:t>
      </w:r>
      <w:r>
        <w:rPr>
          <w:rFonts w:hint="eastAsia"/>
          <w:sz w:val="24"/>
          <w:lang w:val="en-US" w:eastAsia="zh-CN"/>
        </w:rPr>
        <w:t>。</w:t>
      </w:r>
    </w:p>
    <w:p>
      <w:pPr>
        <w:spacing w:line="500" w:lineRule="exact"/>
        <w:ind w:firstLine="480" w:firstLineChars="200"/>
        <w:rPr>
          <w:color w:val="00B0F0"/>
          <w:sz w:val="24"/>
        </w:rPr>
      </w:pPr>
      <w:r>
        <w:rPr>
          <w:rFonts w:hint="eastAsia"/>
          <w:sz w:val="24"/>
        </w:rPr>
        <w:t>机房</w:t>
      </w:r>
      <w:r>
        <w:rPr>
          <w:rFonts w:hint="eastAsia"/>
          <w:sz w:val="24"/>
          <w:lang w:val="en-US" w:eastAsia="zh-CN"/>
        </w:rPr>
        <w:t>内原有6个ODF架利旧</w:t>
      </w:r>
      <w:r>
        <w:rPr>
          <w:rFonts w:hint="eastAsia"/>
          <w:sz w:val="24"/>
        </w:rPr>
        <w:t>。</w:t>
      </w:r>
    </w:p>
    <w:p>
      <w:pPr>
        <w:numPr>
          <w:ilvl w:val="0"/>
          <w:numId w:val="4"/>
        </w:numPr>
        <w:spacing w:line="500" w:lineRule="exact"/>
        <w:ind w:left="0" w:leftChars="0" w:firstLine="480" w:firstLineChars="200"/>
        <w:rPr>
          <w:sz w:val="24"/>
        </w:rPr>
      </w:pPr>
      <w:r>
        <w:rPr>
          <w:rFonts w:hint="eastAsia"/>
          <w:sz w:val="24"/>
        </w:rPr>
        <w:t>走线架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原有网格线槽及尾纤槽在新增机柜上方延伸1.2米</w:t>
      </w:r>
      <w:r>
        <w:rPr>
          <w:rFonts w:hint="eastAsia"/>
          <w:sz w:val="24"/>
        </w:rPr>
        <w:t>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3．光纤线路布放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光纤(尾纤)在光纤槽道内铺设。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4. 弱电线路布放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光缆、视音频线、射频线、五类线等弱电</w:t>
      </w:r>
      <w:r>
        <w:rPr>
          <w:rFonts w:hint="eastAsia"/>
          <w:sz w:val="24"/>
          <w:lang w:eastAsia="zh-CN"/>
        </w:rPr>
        <w:t>线缆</w:t>
      </w:r>
      <w:r>
        <w:rPr>
          <w:rFonts w:hint="eastAsia"/>
          <w:sz w:val="24"/>
        </w:rPr>
        <w:t>在弱电走线架上敷设。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5．强电线路布放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（1）动力</w:t>
      </w:r>
      <w:r>
        <w:rPr>
          <w:rFonts w:hint="eastAsia"/>
          <w:sz w:val="24"/>
          <w:lang w:eastAsia="zh-CN"/>
        </w:rPr>
        <w:t>配电柜</w:t>
      </w:r>
      <w:r>
        <w:rPr>
          <w:rFonts w:hint="eastAsia"/>
          <w:sz w:val="24"/>
        </w:rPr>
        <w:t>输入电缆选用阻燃YJV电力电缆，在强电线槽内</w:t>
      </w:r>
      <w:r>
        <w:rPr>
          <w:rFonts w:hint="eastAsia"/>
          <w:sz w:val="24"/>
          <w:lang w:val="en-US" w:eastAsia="zh-CN"/>
        </w:rPr>
        <w:t>或套保护管</w:t>
      </w:r>
      <w:r>
        <w:rPr>
          <w:rFonts w:hint="eastAsia"/>
          <w:sz w:val="24"/>
        </w:rPr>
        <w:t>走线。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（2）UPS主机的输入、输出电缆选用阻燃YJV电力电缆，在强电线槽内走线。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（3）设备</w:t>
      </w:r>
      <w:r>
        <w:rPr>
          <w:rFonts w:hint="eastAsia"/>
          <w:sz w:val="24"/>
          <w:lang w:eastAsia="zh-CN"/>
        </w:rPr>
        <w:t>配电柜</w:t>
      </w:r>
      <w:r>
        <w:rPr>
          <w:rFonts w:hint="eastAsia"/>
          <w:sz w:val="24"/>
        </w:rPr>
        <w:t>至机柜的配电电缆选用阻燃YJV电力电缆，在强电线槽内走线。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（5）所有</w:t>
      </w:r>
      <w:r>
        <w:rPr>
          <w:rFonts w:hint="eastAsia"/>
          <w:sz w:val="24"/>
          <w:lang w:eastAsia="zh-CN"/>
        </w:rPr>
        <w:t>配电柜</w:t>
      </w:r>
      <w:r>
        <w:rPr>
          <w:rFonts w:hint="eastAsia"/>
          <w:sz w:val="24"/>
        </w:rPr>
        <w:t>内电缆联结均要求严格按照相关规范施工。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6．接地线路布放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（1）各机房接地线电缆选用阻燃BVR（双色）多股软铜线，在强电线槽内布放。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（2）强、弱电走线槽，要求段与段间、段与件间、件与件间保持整体电连通，可使用BVR</w:t>
      </w:r>
      <w:r>
        <w:rPr>
          <w:sz w:val="24"/>
        </w:rPr>
        <w:t>1</w:t>
      </w:r>
      <w:r>
        <w:rPr>
          <w:rFonts w:hint="eastAsia"/>
          <w:sz w:val="24"/>
        </w:rPr>
        <w:t>6（双色）多股铜导线进行跨接。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（3）所有金属柜（箱）、灯具、盒、槽（架）均要求可靠接地。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（4）所有</w:t>
      </w:r>
      <w:r>
        <w:rPr>
          <w:rFonts w:hint="eastAsia"/>
          <w:sz w:val="24"/>
          <w:lang w:eastAsia="zh-CN"/>
        </w:rPr>
        <w:t>配电柜</w:t>
      </w:r>
      <w:r>
        <w:rPr>
          <w:rFonts w:hint="eastAsia"/>
          <w:sz w:val="24"/>
        </w:rPr>
        <w:t>内接地线的联结均要求严格按照相关规范施工。</w:t>
      </w:r>
    </w:p>
    <w:p>
      <w:pPr>
        <w:spacing w:line="500" w:lineRule="exact"/>
        <w:rPr>
          <w:sz w:val="24"/>
        </w:rPr>
      </w:pP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电气设计</w:t>
      </w:r>
    </w:p>
    <w:p>
      <w:pPr>
        <w:spacing w:line="500" w:lineRule="exact"/>
        <w:rPr>
          <w:b/>
          <w:bCs/>
          <w:sz w:val="24"/>
        </w:rPr>
      </w:pPr>
    </w:p>
    <w:p>
      <w:pPr>
        <w:tabs>
          <w:tab w:val="left" w:pos="180"/>
        </w:tabs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1．供电</w:t>
      </w:r>
    </w:p>
    <w:p>
      <w:pPr>
        <w:pStyle w:val="3"/>
        <w:spacing w:line="500" w:lineRule="exact"/>
      </w:pPr>
      <w:r>
        <w:rPr>
          <w:rFonts w:hint="eastAsia"/>
          <w:lang w:eastAsia="zh-CN"/>
        </w:rPr>
        <w:t>丰泽</w:t>
      </w:r>
      <w:r>
        <w:rPr>
          <w:rFonts w:hint="eastAsia"/>
        </w:rPr>
        <w:t>分公司</w:t>
      </w:r>
      <w:r>
        <w:rPr>
          <w:rFonts w:hint="eastAsia"/>
          <w:sz w:val="24"/>
          <w:lang w:eastAsia="zh-CN"/>
        </w:rPr>
        <w:t>市政府分前端机房</w:t>
      </w:r>
      <w:r>
        <w:rPr>
          <w:rFonts w:hint="eastAsia"/>
        </w:rPr>
        <w:t>为二级负荷供电单位，供电系统应使用应急发电机，机房动力电源使用独立电缆从大楼低压配电房引出。</w:t>
      </w:r>
    </w:p>
    <w:p>
      <w:pPr>
        <w:pStyle w:val="3"/>
        <w:spacing w:line="500" w:lineRule="exact"/>
      </w:pPr>
      <w:r>
        <w:rPr>
          <w:rFonts w:hint="eastAsia"/>
        </w:rPr>
        <w:t>机房所采用的配电系统为TN-S的三相五线制、单相三线制，其三相额定电压为380伏，单相额定电压220伏，供电频率为50H</w:t>
      </w:r>
      <w:r>
        <w:t>z</w:t>
      </w:r>
      <w:r>
        <w:rPr>
          <w:rFonts w:hint="eastAsia"/>
        </w:rPr>
        <w:t>。</w:t>
      </w:r>
    </w:p>
    <w:p>
      <w:pPr>
        <w:pStyle w:val="3"/>
        <w:spacing w:line="500" w:lineRule="exact"/>
      </w:pPr>
      <w:r>
        <w:rPr>
          <w:rFonts w:hint="eastAsia"/>
          <w:lang w:val="en-US" w:eastAsia="zh-CN"/>
        </w:rPr>
        <w:t>双电源切换箱采用1路市电切换，再加一路应急电源供电模式。</w:t>
      </w:r>
    </w:p>
    <w:p>
      <w:pPr>
        <w:tabs>
          <w:tab w:val="left" w:pos="180"/>
        </w:tabs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设备</w:t>
      </w:r>
      <w:r>
        <w:rPr>
          <w:rFonts w:hint="eastAsia"/>
          <w:sz w:val="24"/>
          <w:lang w:eastAsia="zh-CN"/>
        </w:rPr>
        <w:t>配电柜</w:t>
      </w:r>
      <w:r>
        <w:rPr>
          <w:rFonts w:hint="eastAsia"/>
          <w:sz w:val="24"/>
        </w:rPr>
        <w:t>供电由机房内的UPS主机使用阻燃YJV铜芯电缆引入，为机柜供电，每个机柜引入两路单相电源供电。</w:t>
      </w:r>
    </w:p>
    <w:p>
      <w:pPr>
        <w:pStyle w:val="3"/>
        <w:spacing w:line="500" w:lineRule="exact"/>
      </w:pPr>
      <w:r>
        <w:rPr>
          <w:rFonts w:hint="eastAsia"/>
          <w:lang w:eastAsia="zh-CN"/>
        </w:rPr>
        <w:t>配电柜</w:t>
      </w:r>
      <w:r>
        <w:rPr>
          <w:rFonts w:hint="eastAsia"/>
        </w:rPr>
        <w:t>内部配置配电详见《</w:t>
      </w:r>
      <w:r>
        <w:rPr>
          <w:rFonts w:hint="eastAsia"/>
          <w:lang w:val="en-US" w:eastAsia="zh-CN"/>
        </w:rPr>
        <w:t>设备配电柜2</w:t>
      </w:r>
      <w:r>
        <w:rPr>
          <w:rFonts w:hint="eastAsia"/>
        </w:rPr>
        <w:t>系统图》、《设</w:t>
      </w:r>
      <w:r>
        <w:rPr>
          <w:rFonts w:hint="eastAsia"/>
          <w:lang w:val="en-US" w:eastAsia="zh-CN"/>
        </w:rPr>
        <w:t>双电源切换箱</w:t>
      </w:r>
      <w:r>
        <w:rPr>
          <w:rFonts w:hint="eastAsia"/>
        </w:rPr>
        <w:t>系统图》。</w:t>
      </w:r>
    </w:p>
    <w:p>
      <w:pPr>
        <w:pStyle w:val="3"/>
        <w:spacing w:line="500" w:lineRule="exac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．</w:t>
      </w:r>
      <w:r>
        <w:rPr>
          <w:rFonts w:hint="eastAsia"/>
          <w:lang w:eastAsia="zh-CN"/>
        </w:rPr>
        <w:t>配电柜技术要求</w:t>
      </w:r>
    </w:p>
    <w:p>
      <w:pPr>
        <w:pStyle w:val="3"/>
        <w:spacing w:line="500" w:lineRule="exact"/>
      </w:pPr>
      <w:r>
        <w:rPr>
          <w:rFonts w:hint="eastAsia"/>
          <w:lang w:val="en-US" w:eastAsia="zh-CN"/>
        </w:rPr>
        <w:t>设备</w:t>
      </w:r>
      <w:r>
        <w:rPr>
          <w:rFonts w:hint="eastAsia"/>
          <w:lang w:eastAsia="zh-CN"/>
        </w:rPr>
        <w:t>配电柜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和</w:t>
      </w:r>
      <w:r>
        <w:rPr>
          <w:rFonts w:hint="eastAsia"/>
          <w:lang w:val="en-US" w:eastAsia="zh-CN"/>
        </w:rPr>
        <w:t>双电源切换箱</w:t>
      </w:r>
      <w:r>
        <w:rPr>
          <w:rFonts w:hint="eastAsia"/>
        </w:rPr>
        <w:t>的各相负荷须均衡配置，其均衡度应符合不小于80%的技术要求。</w:t>
      </w:r>
    </w:p>
    <w:p>
      <w:pPr>
        <w:pStyle w:val="3"/>
        <w:spacing w:line="500" w:lineRule="exact"/>
      </w:pPr>
      <w:r>
        <w:rPr>
          <w:rFonts w:hint="eastAsia"/>
        </w:rPr>
        <w:t>对机房</w:t>
      </w:r>
      <w:r>
        <w:rPr>
          <w:rFonts w:hint="eastAsia"/>
          <w:lang w:val="en-US" w:eastAsia="zh-CN"/>
        </w:rPr>
        <w:t>配电箱/柜</w:t>
      </w:r>
      <w:r>
        <w:rPr>
          <w:rFonts w:hint="eastAsia"/>
        </w:rPr>
        <w:t>技术要求如下：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1） </w:t>
      </w:r>
      <w:r>
        <w:rPr>
          <w:rFonts w:hint="eastAsia"/>
          <w:sz w:val="24"/>
          <w:lang w:val="en-US" w:eastAsia="zh-CN"/>
        </w:rPr>
        <w:t>配电箱/柜</w:t>
      </w:r>
      <w:r>
        <w:rPr>
          <w:rFonts w:hint="eastAsia"/>
          <w:sz w:val="24"/>
        </w:rPr>
        <w:t>选用有电力生产牌照、有产品出厂检测合格证的正规厂家产品。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配电箱/柜</w:t>
      </w:r>
      <w:r>
        <w:rPr>
          <w:rFonts w:hint="eastAsia"/>
          <w:sz w:val="24"/>
        </w:rPr>
        <w:t>配置3*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0紫铜零排（N）和地排（PE），适合于铜接线端子连接。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双电源切换箱</w:t>
      </w:r>
      <w:r>
        <w:rPr>
          <w:rFonts w:hint="eastAsia"/>
          <w:sz w:val="24"/>
        </w:rPr>
        <w:t>配置五孔航空插座，容量/规格与发电车相匹配。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配电箱/柜</w:t>
      </w:r>
      <w:r>
        <w:rPr>
          <w:rFonts w:hint="eastAsia"/>
          <w:sz w:val="24"/>
        </w:rPr>
        <w:t>配置</w:t>
      </w:r>
      <w:r>
        <w:rPr>
          <w:rFonts w:hint="eastAsia"/>
          <w:sz w:val="24"/>
          <w:lang w:val="en-US" w:eastAsia="zh-CN"/>
        </w:rPr>
        <w:t>空气断路器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val="en-US" w:eastAsia="zh-CN"/>
        </w:rPr>
        <w:t>断路器</w:t>
      </w:r>
      <w:r>
        <w:rPr>
          <w:rFonts w:hint="eastAsia"/>
          <w:sz w:val="24"/>
        </w:rPr>
        <w:t>选用施耐德/ABB品牌。</w:t>
      </w:r>
    </w:p>
    <w:p>
      <w:pPr>
        <w:pStyle w:val="3"/>
        <w:spacing w:line="500" w:lineRule="exact"/>
      </w:pPr>
      <w:r>
        <w:rPr>
          <w:rFonts w:hint="eastAsia"/>
        </w:rPr>
        <w:t>对机房</w:t>
      </w:r>
      <w:r>
        <w:rPr>
          <w:rFonts w:hint="eastAsia"/>
          <w:lang w:val="en-US" w:eastAsia="zh-CN"/>
        </w:rPr>
        <w:t>设备</w:t>
      </w:r>
      <w:r>
        <w:rPr>
          <w:rFonts w:hint="eastAsia"/>
          <w:lang w:eastAsia="zh-CN"/>
        </w:rPr>
        <w:t>配电柜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技术要求如下：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1） </w:t>
      </w:r>
      <w:r>
        <w:rPr>
          <w:rFonts w:hint="eastAsia"/>
          <w:lang w:val="en-US" w:eastAsia="zh-CN"/>
        </w:rPr>
        <w:t>设备</w:t>
      </w:r>
      <w:r>
        <w:rPr>
          <w:rFonts w:hint="eastAsia"/>
          <w:lang w:eastAsia="zh-CN"/>
        </w:rPr>
        <w:t>配电柜</w:t>
      </w:r>
      <w:r>
        <w:rPr>
          <w:rFonts w:hint="eastAsia"/>
          <w:lang w:val="en-US" w:eastAsia="zh-CN"/>
        </w:rPr>
        <w:t>2</w:t>
      </w:r>
      <w:r>
        <w:rPr>
          <w:rFonts w:hint="eastAsia"/>
          <w:sz w:val="24"/>
        </w:rPr>
        <w:t>选用有电力生产牌照、有产品出厂检测合格证的正规厂家产品。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2）</w:t>
      </w:r>
      <w:r>
        <w:rPr>
          <w:rFonts w:hint="eastAsia"/>
          <w:lang w:val="en-US" w:eastAsia="zh-CN"/>
        </w:rPr>
        <w:t>设备</w:t>
      </w:r>
      <w:r>
        <w:rPr>
          <w:rFonts w:hint="eastAsia"/>
          <w:lang w:eastAsia="zh-CN"/>
        </w:rPr>
        <w:t>配电柜</w:t>
      </w:r>
      <w:r>
        <w:rPr>
          <w:rFonts w:hint="eastAsia"/>
          <w:lang w:val="en-US" w:eastAsia="zh-CN"/>
        </w:rPr>
        <w:t>2</w:t>
      </w:r>
      <w:r>
        <w:rPr>
          <w:rFonts w:hint="eastAsia"/>
          <w:sz w:val="24"/>
        </w:rPr>
        <w:t>内空气断路器均选用ABB/施耐德品牌。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3）</w:t>
      </w:r>
      <w:r>
        <w:rPr>
          <w:rFonts w:hint="eastAsia"/>
          <w:lang w:val="en-US" w:eastAsia="zh-CN"/>
        </w:rPr>
        <w:t>设备</w:t>
      </w:r>
      <w:r>
        <w:rPr>
          <w:rFonts w:hint="eastAsia"/>
          <w:lang w:eastAsia="zh-CN"/>
        </w:rPr>
        <w:t>配电柜</w:t>
      </w:r>
      <w:r>
        <w:rPr>
          <w:rFonts w:hint="eastAsia"/>
          <w:lang w:val="en-US" w:eastAsia="zh-CN"/>
        </w:rPr>
        <w:t>2</w:t>
      </w:r>
      <w:r>
        <w:rPr>
          <w:rFonts w:hint="eastAsia"/>
          <w:sz w:val="24"/>
        </w:rPr>
        <w:t>配置3*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0紫铜零排N和地排PE，适合于铜接线端子连接。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4）</w:t>
      </w:r>
      <w:r>
        <w:rPr>
          <w:rFonts w:hint="eastAsia"/>
          <w:lang w:val="en-US" w:eastAsia="zh-CN"/>
        </w:rPr>
        <w:t>设备</w:t>
      </w:r>
      <w:r>
        <w:rPr>
          <w:rFonts w:hint="eastAsia"/>
          <w:lang w:eastAsia="zh-CN"/>
        </w:rPr>
        <w:t>配电柜</w:t>
      </w:r>
      <w:r>
        <w:rPr>
          <w:rFonts w:hint="eastAsia"/>
          <w:lang w:val="en-US" w:eastAsia="zh-CN"/>
        </w:rPr>
        <w:t>2</w:t>
      </w:r>
      <w:r>
        <w:rPr>
          <w:rFonts w:hint="eastAsia"/>
          <w:sz w:val="24"/>
        </w:rPr>
        <w:t>应具有相电压、相电流等基本参数检测的智能数字电量仪，具有监控接口。</w:t>
      </w:r>
    </w:p>
    <w:p>
      <w:pPr>
        <w:spacing w:line="5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5）</w:t>
      </w:r>
      <w:r>
        <w:rPr>
          <w:rFonts w:hint="eastAsia"/>
          <w:lang w:val="en-US" w:eastAsia="zh-CN"/>
        </w:rPr>
        <w:t>设备</w:t>
      </w:r>
      <w:r>
        <w:rPr>
          <w:rFonts w:hint="eastAsia"/>
          <w:lang w:eastAsia="zh-CN"/>
        </w:rPr>
        <w:t>配电柜</w:t>
      </w:r>
      <w:r>
        <w:rPr>
          <w:rFonts w:hint="eastAsia"/>
          <w:lang w:val="en-US" w:eastAsia="zh-CN"/>
        </w:rPr>
        <w:t>2</w:t>
      </w:r>
      <w:r>
        <w:rPr>
          <w:rFonts w:hint="eastAsia"/>
          <w:sz w:val="24"/>
        </w:rPr>
        <w:t>输入端安装施耐德四模块40KA浪涌保护模块和后备保护断路器，防止供电线路的感应雷击、瞬态过电压对机柜设备的冲击破坏。</w:t>
      </w:r>
    </w:p>
    <w:p>
      <w:pPr>
        <w:spacing w:line="500" w:lineRule="exact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6）</w:t>
      </w:r>
      <w:r>
        <w:rPr>
          <w:rFonts w:hint="eastAsia"/>
          <w:lang w:val="en-US" w:eastAsia="zh-CN"/>
        </w:rPr>
        <w:t>设备</w:t>
      </w:r>
      <w:r>
        <w:rPr>
          <w:rFonts w:hint="eastAsia"/>
          <w:lang w:eastAsia="zh-CN"/>
        </w:rPr>
        <w:t>配电柜</w:t>
      </w:r>
      <w:r>
        <w:rPr>
          <w:rFonts w:hint="eastAsia"/>
          <w:lang w:val="en-US" w:eastAsia="zh-CN"/>
        </w:rPr>
        <w:t>2</w:t>
      </w:r>
      <w:r>
        <w:rPr>
          <w:rFonts w:hint="eastAsia"/>
          <w:sz w:val="24"/>
          <w:lang w:val="en-US" w:eastAsia="zh-CN"/>
        </w:rPr>
        <w:t>配置CB级双电源切换开关，配置80A执行机构，要求ATS具备两路电源同时切断的功能，具备消防联动功能；应急电源断路器要求挂锁安装，平时未使用时应处于断开状态。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）</w:t>
      </w:r>
      <w:r>
        <w:rPr>
          <w:rFonts w:hint="eastAsia"/>
          <w:lang w:val="en-US" w:eastAsia="zh-CN"/>
        </w:rPr>
        <w:t>设备</w:t>
      </w:r>
      <w:r>
        <w:rPr>
          <w:rFonts w:hint="eastAsia"/>
          <w:lang w:eastAsia="zh-CN"/>
        </w:rPr>
        <w:t>配电柜</w:t>
      </w:r>
      <w:r>
        <w:rPr>
          <w:rFonts w:hint="eastAsia"/>
          <w:lang w:val="en-US" w:eastAsia="zh-CN"/>
        </w:rPr>
        <w:t>2</w:t>
      </w:r>
      <w:r>
        <w:rPr>
          <w:rFonts w:hint="eastAsia"/>
          <w:sz w:val="24"/>
        </w:rPr>
        <w:t>均预留若干备用供电空气开关，以便设备扩容和维护使用。</w:t>
      </w:r>
    </w:p>
    <w:p>
      <w:pPr>
        <w:spacing w:line="500" w:lineRule="exact"/>
        <w:rPr>
          <w:sz w:val="24"/>
        </w:rPr>
      </w:pP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空调设计</w:t>
      </w:r>
    </w:p>
    <w:p>
      <w:pPr>
        <w:spacing w:line="500" w:lineRule="exact"/>
        <w:ind w:firstLine="480"/>
        <w:rPr>
          <w:sz w:val="24"/>
        </w:rPr>
      </w:pPr>
    </w:p>
    <w:p>
      <w:pPr>
        <w:spacing w:line="500" w:lineRule="exact"/>
        <w:ind w:firstLine="480" w:firstLineChars="20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原1台大金5P空调调整安装位置，重装布置冷媒管，接续排水管。</w:t>
      </w:r>
      <w:bookmarkStart w:id="0" w:name="_GoBack"/>
      <w:bookmarkEnd w:id="0"/>
    </w:p>
    <w:sectPr>
      <w:footerReference r:id="rId5" w:type="first"/>
      <w:headerReference r:id="rId3" w:type="default"/>
      <w:footerReference r:id="rId4" w:type="default"/>
      <w:pgSz w:w="11906" w:h="16838"/>
      <w:pgMar w:top="1418" w:right="1701" w:bottom="1134" w:left="1701" w:header="851" w:footer="737" w:gutter="284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  <w:rPr>
        <w:rFonts w:hint="default"/>
      </w:rPr>
    </w:pPr>
    <w:r>
      <w:rPr>
        <w:rFonts w:hint="defaul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2427605</wp:posOffset>
              </wp:positionH>
              <wp:positionV relativeFrom="paragraph">
                <wp:posOffset>-320040</wp:posOffset>
              </wp:positionV>
              <wp:extent cx="114935" cy="706120"/>
              <wp:effectExtent l="0" t="0" r="0" b="0"/>
              <wp:wrapNone/>
              <wp:docPr id="1" name="文本框 35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706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13"/>
                            <w:jc w:val="center"/>
                            <w:rPr>
                              <w:rFonts w:hint="default"/>
                            </w:rPr>
                          </w:pPr>
                        </w:p>
                        <w:p>
                          <w:pPr>
                            <w:pStyle w:val="13"/>
                            <w:jc w:val="center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hint="default"/>
                            </w:rP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rPr>
                              <w:rFonts w:hint="default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</w:rPr>
                            <w:t>1</w:t>
                          </w:r>
                          <w:r>
                            <w:rPr>
                              <w:rFonts w:hint="default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506" o:spid="_x0000_s1026" o:spt="202" type="#_x0000_t202" style="position:absolute;left:0pt;margin-left:191.15pt;margin-top:-25.2pt;height:55.6pt;width:9.05pt;mso-position-horizontal-relative:margin;mso-wrap-style:none;z-index:251659264;mso-width-relative:page;mso-height-relative:page;" filled="f" stroked="f" coordsize="21600,21600" o:gfxdata="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WwW3O1wAAAAoBAAAPAAAAAAAAAAEAIAAAACIA&#10;AABkcnMvZG93bnJldi54bWxQSwECFAAUAAAACACHTuJA4HR0ZtEBAACTAwAADgAAAAAAAAABACAA&#10;AAAmAQAAZHJzL2Uyb0RvYy54bWxQSwUGAAAAAAYABgBZAQAAaQUAAAAA&#10;"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pStyle w:val="13"/>
                      <w:jc w:val="center"/>
                      <w:rPr>
                        <w:rFonts w:hint="default"/>
                      </w:rPr>
                    </w:pPr>
                  </w:p>
                  <w:p>
                    <w:pPr>
                      <w:pStyle w:val="13"/>
                      <w:jc w:val="center"/>
                      <w:rPr>
                        <w:rFonts w:hint="default"/>
                      </w:rPr>
                    </w:pPr>
                    <w:r>
                      <w:rPr>
                        <w:rFonts w:hint="default"/>
                      </w:rPr>
                      <w:fldChar w:fldCharType="begin"/>
                    </w:r>
                    <w:r>
                      <w:instrText xml:space="preserve"> PAGE </w:instrText>
                    </w:r>
                    <w:r>
                      <w:rPr>
                        <w:rFonts w:hint="default"/>
                      </w:rPr>
                      <w:fldChar w:fldCharType="separate"/>
                    </w:r>
                    <w:r>
                      <w:rPr>
                        <w:rFonts w:hint="default"/>
                      </w:rPr>
                      <w:t>1</w:t>
                    </w:r>
                    <w:r>
                      <w:rPr>
                        <w:rFonts w:hint="default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wordWrap w:val="0"/>
      <w:jc w:val="right"/>
      <w:rPr>
        <w:rFonts w:hint="default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eastAsia="宋体"/>
        <w:lang w:eastAsia="zh-CN"/>
      </w:rPr>
    </w:pPr>
    <w:r>
      <w:t>福建广电网络</w:t>
    </w:r>
    <w:r>
      <w:rPr>
        <w:rFonts w:hint="eastAsia"/>
        <w:lang w:eastAsia="zh-CN"/>
      </w:rPr>
      <w:t>实业发展有限公司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50AE2"/>
    <w:multiLevelType w:val="singleLevel"/>
    <w:tmpl w:val="0A250AE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F811D52"/>
    <w:multiLevelType w:val="multilevel"/>
    <w:tmpl w:val="2F811D52"/>
    <w:lvl w:ilvl="0" w:tentative="0">
      <w:start w:val="1"/>
      <w:numFmt w:val="japaneseCounting"/>
      <w:lvlText w:val="第%1章"/>
      <w:lvlJc w:val="left"/>
      <w:pPr>
        <w:tabs>
          <w:tab w:val="left" w:pos="1080"/>
        </w:tabs>
        <w:ind w:left="1080" w:hanging="1080"/>
      </w:pPr>
      <w:rPr>
        <w:rFonts w:hint="eastAsia"/>
      </w:rPr>
    </w:lvl>
    <w:lvl w:ilvl="1" w:tentative="0">
      <w:start w:val="1"/>
      <w:numFmt w:val="japaneseCounting"/>
      <w:lvlText w:val="%2、"/>
      <w:lvlJc w:val="left"/>
      <w:pPr>
        <w:tabs>
          <w:tab w:val="left" w:pos="1410"/>
        </w:tabs>
        <w:ind w:left="1410" w:hanging="990"/>
      </w:pPr>
      <w:rPr>
        <w:rFonts w:ascii="Times New Roman" w:hAnsi="Times New Roman" w:eastAsia="宋体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DCD79B5"/>
    <w:multiLevelType w:val="multilevel"/>
    <w:tmpl w:val="4DCD79B5"/>
    <w:lvl w:ilvl="0" w:tentative="0">
      <w:start w:val="1"/>
      <w:numFmt w:val="japaneseCounting"/>
      <w:lvlText w:val="第%1节"/>
      <w:lvlJc w:val="left"/>
      <w:pPr>
        <w:tabs>
          <w:tab w:val="left" w:pos="975"/>
        </w:tabs>
        <w:ind w:left="975" w:hanging="975"/>
      </w:pPr>
      <w:rPr>
        <w:rFonts w:hint="eastAsia"/>
        <w:lang w:val="en-US"/>
      </w:rPr>
    </w:lvl>
    <w:lvl w:ilvl="1" w:tentative="0">
      <w:start w:val="1"/>
      <w:numFmt w:val="japaneseCounting"/>
      <w:lvlText w:val="第%2节"/>
      <w:lvlJc w:val="left"/>
      <w:pPr>
        <w:tabs>
          <w:tab w:val="left" w:pos="1380"/>
        </w:tabs>
        <w:ind w:left="1380" w:hanging="9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13409CC"/>
    <w:multiLevelType w:val="multilevel"/>
    <w:tmpl w:val="513409CC"/>
    <w:lvl w:ilvl="0" w:tentative="0">
      <w:start w:val="1"/>
      <w:numFmt w:val="japaneseCounting"/>
      <w:lvlText w:val="第%1节"/>
      <w:lvlJc w:val="left"/>
      <w:pPr>
        <w:tabs>
          <w:tab w:val="left" w:pos="1125"/>
        </w:tabs>
        <w:ind w:left="1125" w:hanging="1125"/>
      </w:pPr>
      <w:rPr>
        <w:rFonts w:hint="eastAsia"/>
      </w:rPr>
    </w:lvl>
    <w:lvl w:ilvl="1" w:tentative="0">
      <w:start w:val="1"/>
      <w:numFmt w:val="japaneseCounting"/>
      <w:lvlText w:val="第%2章"/>
      <w:lvlJc w:val="left"/>
      <w:pPr>
        <w:tabs>
          <w:tab w:val="left" w:pos="1530"/>
        </w:tabs>
        <w:ind w:left="1530" w:hanging="111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D10"/>
    <w:rsid w:val="00023E53"/>
    <w:rsid w:val="000249EE"/>
    <w:rsid w:val="00025394"/>
    <w:rsid w:val="0004229E"/>
    <w:rsid w:val="00055386"/>
    <w:rsid w:val="00090C62"/>
    <w:rsid w:val="000B6B90"/>
    <w:rsid w:val="000C0F28"/>
    <w:rsid w:val="000C107D"/>
    <w:rsid w:val="000D7770"/>
    <w:rsid w:val="000E5283"/>
    <w:rsid w:val="000F1D68"/>
    <w:rsid w:val="00101151"/>
    <w:rsid w:val="00135F40"/>
    <w:rsid w:val="0014767C"/>
    <w:rsid w:val="001557EF"/>
    <w:rsid w:val="00177719"/>
    <w:rsid w:val="00181CD6"/>
    <w:rsid w:val="00182443"/>
    <w:rsid w:val="001824FC"/>
    <w:rsid w:val="00192270"/>
    <w:rsid w:val="001946C2"/>
    <w:rsid w:val="001951CF"/>
    <w:rsid w:val="00196A71"/>
    <w:rsid w:val="001A283D"/>
    <w:rsid w:val="001B61FA"/>
    <w:rsid w:val="001B6532"/>
    <w:rsid w:val="001C72EB"/>
    <w:rsid w:val="001D0AC8"/>
    <w:rsid w:val="001D21A3"/>
    <w:rsid w:val="001E5BB6"/>
    <w:rsid w:val="001F2811"/>
    <w:rsid w:val="001F3C71"/>
    <w:rsid w:val="001F5959"/>
    <w:rsid w:val="00202820"/>
    <w:rsid w:val="00205ADF"/>
    <w:rsid w:val="00206225"/>
    <w:rsid w:val="00207C53"/>
    <w:rsid w:val="002127CB"/>
    <w:rsid w:val="002175B1"/>
    <w:rsid w:val="002308A4"/>
    <w:rsid w:val="002340FE"/>
    <w:rsid w:val="00234C75"/>
    <w:rsid w:val="002465C4"/>
    <w:rsid w:val="00255450"/>
    <w:rsid w:val="002615B4"/>
    <w:rsid w:val="00265374"/>
    <w:rsid w:val="0028226B"/>
    <w:rsid w:val="00287278"/>
    <w:rsid w:val="00290DB5"/>
    <w:rsid w:val="002946E2"/>
    <w:rsid w:val="00295B88"/>
    <w:rsid w:val="00297B11"/>
    <w:rsid w:val="002A2F0E"/>
    <w:rsid w:val="002B1AAF"/>
    <w:rsid w:val="002B4A1D"/>
    <w:rsid w:val="002B54D3"/>
    <w:rsid w:val="002C223A"/>
    <w:rsid w:val="002D172C"/>
    <w:rsid w:val="002D69F5"/>
    <w:rsid w:val="002E3B55"/>
    <w:rsid w:val="002F0107"/>
    <w:rsid w:val="00301C7E"/>
    <w:rsid w:val="00335A26"/>
    <w:rsid w:val="0034045B"/>
    <w:rsid w:val="00342843"/>
    <w:rsid w:val="00351D6A"/>
    <w:rsid w:val="00353319"/>
    <w:rsid w:val="003637CF"/>
    <w:rsid w:val="00365AB8"/>
    <w:rsid w:val="003807BC"/>
    <w:rsid w:val="00382E00"/>
    <w:rsid w:val="003904BA"/>
    <w:rsid w:val="00391EA5"/>
    <w:rsid w:val="003923DC"/>
    <w:rsid w:val="003A7858"/>
    <w:rsid w:val="003C39DA"/>
    <w:rsid w:val="003E0380"/>
    <w:rsid w:val="003E5153"/>
    <w:rsid w:val="003F456E"/>
    <w:rsid w:val="00406C32"/>
    <w:rsid w:val="00415E2F"/>
    <w:rsid w:val="004440A4"/>
    <w:rsid w:val="00445BD0"/>
    <w:rsid w:val="004603C2"/>
    <w:rsid w:val="00477482"/>
    <w:rsid w:val="00491408"/>
    <w:rsid w:val="0049298F"/>
    <w:rsid w:val="004965F3"/>
    <w:rsid w:val="00497C9B"/>
    <w:rsid w:val="004A3852"/>
    <w:rsid w:val="004B2690"/>
    <w:rsid w:val="004B7036"/>
    <w:rsid w:val="004C6B6B"/>
    <w:rsid w:val="004D0745"/>
    <w:rsid w:val="004E0ECE"/>
    <w:rsid w:val="004E5327"/>
    <w:rsid w:val="004F0BDA"/>
    <w:rsid w:val="005011DA"/>
    <w:rsid w:val="00505E5F"/>
    <w:rsid w:val="00516BD0"/>
    <w:rsid w:val="005179DF"/>
    <w:rsid w:val="00522951"/>
    <w:rsid w:val="00530028"/>
    <w:rsid w:val="00537E90"/>
    <w:rsid w:val="005468F7"/>
    <w:rsid w:val="005549DC"/>
    <w:rsid w:val="00555FC4"/>
    <w:rsid w:val="00571B9B"/>
    <w:rsid w:val="005735F5"/>
    <w:rsid w:val="00584477"/>
    <w:rsid w:val="005A0EE4"/>
    <w:rsid w:val="005A380A"/>
    <w:rsid w:val="005C69F5"/>
    <w:rsid w:val="005D3C1A"/>
    <w:rsid w:val="005F2143"/>
    <w:rsid w:val="005F4551"/>
    <w:rsid w:val="005F4836"/>
    <w:rsid w:val="005F64A1"/>
    <w:rsid w:val="005F728C"/>
    <w:rsid w:val="006106FE"/>
    <w:rsid w:val="00615A83"/>
    <w:rsid w:val="00623101"/>
    <w:rsid w:val="00623DFD"/>
    <w:rsid w:val="006258F2"/>
    <w:rsid w:val="00635521"/>
    <w:rsid w:val="00652E02"/>
    <w:rsid w:val="00663C86"/>
    <w:rsid w:val="006706EC"/>
    <w:rsid w:val="00674F80"/>
    <w:rsid w:val="0067638C"/>
    <w:rsid w:val="00680842"/>
    <w:rsid w:val="006A348D"/>
    <w:rsid w:val="006A40DA"/>
    <w:rsid w:val="006A54EA"/>
    <w:rsid w:val="006B6FC2"/>
    <w:rsid w:val="006C0215"/>
    <w:rsid w:val="006C0666"/>
    <w:rsid w:val="006C157E"/>
    <w:rsid w:val="006C5868"/>
    <w:rsid w:val="006C598D"/>
    <w:rsid w:val="006C758C"/>
    <w:rsid w:val="006D6CA4"/>
    <w:rsid w:val="006E478D"/>
    <w:rsid w:val="006F14F6"/>
    <w:rsid w:val="006F1C44"/>
    <w:rsid w:val="006F6A96"/>
    <w:rsid w:val="007036C5"/>
    <w:rsid w:val="007273FC"/>
    <w:rsid w:val="00731916"/>
    <w:rsid w:val="00731F66"/>
    <w:rsid w:val="00734EED"/>
    <w:rsid w:val="00737881"/>
    <w:rsid w:val="00744856"/>
    <w:rsid w:val="00750F3A"/>
    <w:rsid w:val="007807CD"/>
    <w:rsid w:val="007926DB"/>
    <w:rsid w:val="007935D8"/>
    <w:rsid w:val="00794278"/>
    <w:rsid w:val="007A1ACC"/>
    <w:rsid w:val="007A7245"/>
    <w:rsid w:val="007B621F"/>
    <w:rsid w:val="007B712D"/>
    <w:rsid w:val="007C2F09"/>
    <w:rsid w:val="007D1557"/>
    <w:rsid w:val="007D1831"/>
    <w:rsid w:val="007D4E90"/>
    <w:rsid w:val="007E3766"/>
    <w:rsid w:val="007F2A53"/>
    <w:rsid w:val="00803D5B"/>
    <w:rsid w:val="0081226B"/>
    <w:rsid w:val="008149F0"/>
    <w:rsid w:val="00821F86"/>
    <w:rsid w:val="008344A5"/>
    <w:rsid w:val="0084201E"/>
    <w:rsid w:val="00843814"/>
    <w:rsid w:val="0084586A"/>
    <w:rsid w:val="0085067B"/>
    <w:rsid w:val="00851615"/>
    <w:rsid w:val="00861010"/>
    <w:rsid w:val="00861BA4"/>
    <w:rsid w:val="00863FBE"/>
    <w:rsid w:val="00871289"/>
    <w:rsid w:val="0087577E"/>
    <w:rsid w:val="00876411"/>
    <w:rsid w:val="00881E7E"/>
    <w:rsid w:val="00882058"/>
    <w:rsid w:val="00896C40"/>
    <w:rsid w:val="008A6044"/>
    <w:rsid w:val="008C360F"/>
    <w:rsid w:val="008F0267"/>
    <w:rsid w:val="0090212F"/>
    <w:rsid w:val="009043A5"/>
    <w:rsid w:val="00922E9A"/>
    <w:rsid w:val="00925291"/>
    <w:rsid w:val="00947EAF"/>
    <w:rsid w:val="009613E4"/>
    <w:rsid w:val="00963A44"/>
    <w:rsid w:val="00971594"/>
    <w:rsid w:val="0097363D"/>
    <w:rsid w:val="0098640E"/>
    <w:rsid w:val="0098697E"/>
    <w:rsid w:val="009872F2"/>
    <w:rsid w:val="00992B20"/>
    <w:rsid w:val="009A3053"/>
    <w:rsid w:val="009B2686"/>
    <w:rsid w:val="009B763E"/>
    <w:rsid w:val="009C5767"/>
    <w:rsid w:val="009D636B"/>
    <w:rsid w:val="009E085E"/>
    <w:rsid w:val="009E0B61"/>
    <w:rsid w:val="009E2DCD"/>
    <w:rsid w:val="009E5CF5"/>
    <w:rsid w:val="009F649A"/>
    <w:rsid w:val="00A01AEF"/>
    <w:rsid w:val="00A0662E"/>
    <w:rsid w:val="00A2652C"/>
    <w:rsid w:val="00A41872"/>
    <w:rsid w:val="00A41E98"/>
    <w:rsid w:val="00A45229"/>
    <w:rsid w:val="00A61122"/>
    <w:rsid w:val="00A62FCE"/>
    <w:rsid w:val="00A64374"/>
    <w:rsid w:val="00A64B04"/>
    <w:rsid w:val="00A66EB0"/>
    <w:rsid w:val="00A7147D"/>
    <w:rsid w:val="00AA3787"/>
    <w:rsid w:val="00AB1A65"/>
    <w:rsid w:val="00AB7EC5"/>
    <w:rsid w:val="00AC61FE"/>
    <w:rsid w:val="00AE10ED"/>
    <w:rsid w:val="00AF2980"/>
    <w:rsid w:val="00AF3C83"/>
    <w:rsid w:val="00AF6C73"/>
    <w:rsid w:val="00B04123"/>
    <w:rsid w:val="00B058B3"/>
    <w:rsid w:val="00B13ED4"/>
    <w:rsid w:val="00B149E0"/>
    <w:rsid w:val="00B21BBB"/>
    <w:rsid w:val="00B36788"/>
    <w:rsid w:val="00B37445"/>
    <w:rsid w:val="00B41E62"/>
    <w:rsid w:val="00B50ECD"/>
    <w:rsid w:val="00B54F9E"/>
    <w:rsid w:val="00B578C9"/>
    <w:rsid w:val="00B64A8D"/>
    <w:rsid w:val="00B85753"/>
    <w:rsid w:val="00B87D83"/>
    <w:rsid w:val="00B90F0B"/>
    <w:rsid w:val="00B914C2"/>
    <w:rsid w:val="00BA0453"/>
    <w:rsid w:val="00BD0ABA"/>
    <w:rsid w:val="00BD3E38"/>
    <w:rsid w:val="00BD3F96"/>
    <w:rsid w:val="00BE4824"/>
    <w:rsid w:val="00BE540B"/>
    <w:rsid w:val="00BE590B"/>
    <w:rsid w:val="00BF0E86"/>
    <w:rsid w:val="00C06F77"/>
    <w:rsid w:val="00C10D2C"/>
    <w:rsid w:val="00C152B9"/>
    <w:rsid w:val="00C27CF7"/>
    <w:rsid w:val="00C3424D"/>
    <w:rsid w:val="00C363B8"/>
    <w:rsid w:val="00C531D7"/>
    <w:rsid w:val="00C708F3"/>
    <w:rsid w:val="00C71164"/>
    <w:rsid w:val="00C72233"/>
    <w:rsid w:val="00C76230"/>
    <w:rsid w:val="00C8186A"/>
    <w:rsid w:val="00C820D7"/>
    <w:rsid w:val="00CA0C57"/>
    <w:rsid w:val="00CA71F3"/>
    <w:rsid w:val="00CB5A14"/>
    <w:rsid w:val="00CC4C58"/>
    <w:rsid w:val="00CD6493"/>
    <w:rsid w:val="00CF171E"/>
    <w:rsid w:val="00CF6161"/>
    <w:rsid w:val="00D00A22"/>
    <w:rsid w:val="00D060FD"/>
    <w:rsid w:val="00D10765"/>
    <w:rsid w:val="00D14D8D"/>
    <w:rsid w:val="00D211E3"/>
    <w:rsid w:val="00D26587"/>
    <w:rsid w:val="00D4100C"/>
    <w:rsid w:val="00D429C0"/>
    <w:rsid w:val="00D44E35"/>
    <w:rsid w:val="00D572D2"/>
    <w:rsid w:val="00D6214A"/>
    <w:rsid w:val="00D640E7"/>
    <w:rsid w:val="00D6767B"/>
    <w:rsid w:val="00D73C51"/>
    <w:rsid w:val="00D779F3"/>
    <w:rsid w:val="00D91755"/>
    <w:rsid w:val="00D92384"/>
    <w:rsid w:val="00D96029"/>
    <w:rsid w:val="00DA1986"/>
    <w:rsid w:val="00DA4EB5"/>
    <w:rsid w:val="00DC08D7"/>
    <w:rsid w:val="00DD1CDF"/>
    <w:rsid w:val="00DD53B2"/>
    <w:rsid w:val="00DD5B14"/>
    <w:rsid w:val="00DE1628"/>
    <w:rsid w:val="00DE186F"/>
    <w:rsid w:val="00E15AC6"/>
    <w:rsid w:val="00E21700"/>
    <w:rsid w:val="00E33022"/>
    <w:rsid w:val="00E33B03"/>
    <w:rsid w:val="00E54014"/>
    <w:rsid w:val="00E64C9C"/>
    <w:rsid w:val="00E748AE"/>
    <w:rsid w:val="00E75A2E"/>
    <w:rsid w:val="00E8091A"/>
    <w:rsid w:val="00E846F6"/>
    <w:rsid w:val="00E9495E"/>
    <w:rsid w:val="00E95A51"/>
    <w:rsid w:val="00E95FA6"/>
    <w:rsid w:val="00EA284F"/>
    <w:rsid w:val="00EB2B9D"/>
    <w:rsid w:val="00EC31EB"/>
    <w:rsid w:val="00EC4546"/>
    <w:rsid w:val="00EC7FA3"/>
    <w:rsid w:val="00ED5B59"/>
    <w:rsid w:val="00EE0046"/>
    <w:rsid w:val="00EE5171"/>
    <w:rsid w:val="00EF2D5C"/>
    <w:rsid w:val="00F10FBF"/>
    <w:rsid w:val="00F12502"/>
    <w:rsid w:val="00F12C7C"/>
    <w:rsid w:val="00F16904"/>
    <w:rsid w:val="00F20E9F"/>
    <w:rsid w:val="00F21B87"/>
    <w:rsid w:val="00F23D6E"/>
    <w:rsid w:val="00F31222"/>
    <w:rsid w:val="00F366F6"/>
    <w:rsid w:val="00F377BB"/>
    <w:rsid w:val="00F44BF2"/>
    <w:rsid w:val="00F47A25"/>
    <w:rsid w:val="00F55B96"/>
    <w:rsid w:val="00F61E81"/>
    <w:rsid w:val="00F63395"/>
    <w:rsid w:val="00F800E0"/>
    <w:rsid w:val="00F8223C"/>
    <w:rsid w:val="00FB50F0"/>
    <w:rsid w:val="00FB7F69"/>
    <w:rsid w:val="00FC2591"/>
    <w:rsid w:val="00FC2BB3"/>
    <w:rsid w:val="00FC5D63"/>
    <w:rsid w:val="00FC6505"/>
    <w:rsid w:val="00FC6FB5"/>
    <w:rsid w:val="00FD5CC0"/>
    <w:rsid w:val="00FD7C30"/>
    <w:rsid w:val="00FE0DEE"/>
    <w:rsid w:val="00FE6175"/>
    <w:rsid w:val="00FF66C1"/>
    <w:rsid w:val="00FF70B6"/>
    <w:rsid w:val="0154110D"/>
    <w:rsid w:val="05051DE7"/>
    <w:rsid w:val="06377F37"/>
    <w:rsid w:val="066E3EB7"/>
    <w:rsid w:val="072C6515"/>
    <w:rsid w:val="09D34AA7"/>
    <w:rsid w:val="09DE5374"/>
    <w:rsid w:val="0A73767C"/>
    <w:rsid w:val="0AEF6C41"/>
    <w:rsid w:val="0BDC6B84"/>
    <w:rsid w:val="0C93116E"/>
    <w:rsid w:val="0D7579B6"/>
    <w:rsid w:val="0DC476FA"/>
    <w:rsid w:val="0F7A338A"/>
    <w:rsid w:val="128B4900"/>
    <w:rsid w:val="12FA44C3"/>
    <w:rsid w:val="15747D24"/>
    <w:rsid w:val="173715FC"/>
    <w:rsid w:val="1B0F753E"/>
    <w:rsid w:val="1B69771C"/>
    <w:rsid w:val="1F0F3BF6"/>
    <w:rsid w:val="20FB3476"/>
    <w:rsid w:val="20FE0D68"/>
    <w:rsid w:val="213F2172"/>
    <w:rsid w:val="2171636C"/>
    <w:rsid w:val="229F56EE"/>
    <w:rsid w:val="23A9534B"/>
    <w:rsid w:val="23AC4B97"/>
    <w:rsid w:val="25854556"/>
    <w:rsid w:val="26B31297"/>
    <w:rsid w:val="273455E2"/>
    <w:rsid w:val="2785300F"/>
    <w:rsid w:val="2829693E"/>
    <w:rsid w:val="287907E2"/>
    <w:rsid w:val="29287704"/>
    <w:rsid w:val="29F079B2"/>
    <w:rsid w:val="2B877BE5"/>
    <w:rsid w:val="2BB34221"/>
    <w:rsid w:val="2C9D2EC0"/>
    <w:rsid w:val="2D562701"/>
    <w:rsid w:val="2DC96C74"/>
    <w:rsid w:val="30C30BBD"/>
    <w:rsid w:val="32AC3EF8"/>
    <w:rsid w:val="32DC119F"/>
    <w:rsid w:val="34DA6848"/>
    <w:rsid w:val="356576A4"/>
    <w:rsid w:val="35BE5A30"/>
    <w:rsid w:val="37965653"/>
    <w:rsid w:val="387533B6"/>
    <w:rsid w:val="38DC23B7"/>
    <w:rsid w:val="39A03495"/>
    <w:rsid w:val="3C1B6D38"/>
    <w:rsid w:val="3DD71ED4"/>
    <w:rsid w:val="3E6166C3"/>
    <w:rsid w:val="3E780464"/>
    <w:rsid w:val="3ECF3A34"/>
    <w:rsid w:val="4121334E"/>
    <w:rsid w:val="43A65FFD"/>
    <w:rsid w:val="43B1325E"/>
    <w:rsid w:val="45B508B8"/>
    <w:rsid w:val="45BD625F"/>
    <w:rsid w:val="45EB0327"/>
    <w:rsid w:val="465227E7"/>
    <w:rsid w:val="46D75981"/>
    <w:rsid w:val="47917555"/>
    <w:rsid w:val="482A031F"/>
    <w:rsid w:val="48A6274D"/>
    <w:rsid w:val="4993175F"/>
    <w:rsid w:val="49DE3603"/>
    <w:rsid w:val="49F221B7"/>
    <w:rsid w:val="4A79062C"/>
    <w:rsid w:val="4B173286"/>
    <w:rsid w:val="4C906DB1"/>
    <w:rsid w:val="4F286084"/>
    <w:rsid w:val="50CB08F0"/>
    <w:rsid w:val="51385EDC"/>
    <w:rsid w:val="528D14FE"/>
    <w:rsid w:val="54C11292"/>
    <w:rsid w:val="55610159"/>
    <w:rsid w:val="55A72D48"/>
    <w:rsid w:val="560F1140"/>
    <w:rsid w:val="56133803"/>
    <w:rsid w:val="5A3C7034"/>
    <w:rsid w:val="5AA7655C"/>
    <w:rsid w:val="5BCE61C7"/>
    <w:rsid w:val="5C7A6938"/>
    <w:rsid w:val="5D065576"/>
    <w:rsid w:val="5D8908D3"/>
    <w:rsid w:val="5EE556E7"/>
    <w:rsid w:val="5EF11980"/>
    <w:rsid w:val="5F284E78"/>
    <w:rsid w:val="5FD02C69"/>
    <w:rsid w:val="61B00209"/>
    <w:rsid w:val="61FC6C54"/>
    <w:rsid w:val="646C3432"/>
    <w:rsid w:val="65581742"/>
    <w:rsid w:val="67747F73"/>
    <w:rsid w:val="679D4441"/>
    <w:rsid w:val="67DD6277"/>
    <w:rsid w:val="6AA54FC2"/>
    <w:rsid w:val="6B7E16C3"/>
    <w:rsid w:val="6BBB56F8"/>
    <w:rsid w:val="705B7276"/>
    <w:rsid w:val="743121C2"/>
    <w:rsid w:val="7479691E"/>
    <w:rsid w:val="749C2AA6"/>
    <w:rsid w:val="755C1035"/>
    <w:rsid w:val="76CE754B"/>
    <w:rsid w:val="7A192869"/>
    <w:rsid w:val="7ADB7A5B"/>
    <w:rsid w:val="7C4540CC"/>
    <w:rsid w:val="7C630661"/>
    <w:rsid w:val="7E457DB6"/>
    <w:rsid w:val="7E99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spacing w:line="460" w:lineRule="exact"/>
      <w:jc w:val="center"/>
    </w:pPr>
    <w:rPr>
      <w:rFonts w:eastAsia="黑体"/>
      <w:b/>
      <w:bCs/>
      <w:sz w:val="72"/>
    </w:rPr>
  </w:style>
  <w:style w:type="paragraph" w:styleId="3">
    <w:name w:val="Body Text Indent"/>
    <w:basedOn w:val="1"/>
    <w:semiHidden/>
    <w:qFormat/>
    <w:uiPriority w:val="0"/>
    <w:pPr>
      <w:spacing w:line="400" w:lineRule="exact"/>
      <w:ind w:firstLine="480" w:firstLineChars="200"/>
    </w:pPr>
    <w:rPr>
      <w:sz w:val="24"/>
    </w:rPr>
  </w:style>
  <w:style w:type="paragraph" w:styleId="4">
    <w:name w:val="Body Text Indent 2"/>
    <w:basedOn w:val="1"/>
    <w:semiHidden/>
    <w:qFormat/>
    <w:uiPriority w:val="0"/>
    <w:pPr>
      <w:ind w:firstLine="360" w:firstLineChars="150"/>
    </w:pPr>
    <w:rPr>
      <w:sz w:val="24"/>
    </w:rPr>
  </w:style>
  <w:style w:type="paragraph" w:styleId="5">
    <w:name w:val="footer"/>
    <w:basedOn w:val="1"/>
    <w:link w:val="5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semiHidden/>
    <w:qFormat/>
    <w:uiPriority w:val="0"/>
    <w:pPr>
      <w:ind w:left="-105" w:firstLine="463" w:firstLineChars="193"/>
    </w:pPr>
    <w:rPr>
      <w:rFonts w:ascii="宋体" w:hAnsi="宋体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semiHidden/>
    <w:qFormat/>
    <w:uiPriority w:val="0"/>
  </w:style>
  <w:style w:type="paragraph" w:customStyle="1" w:styleId="1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1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Cs w:val="21"/>
    </w:rPr>
  </w:style>
  <w:style w:type="paragraph" w:customStyle="1" w:styleId="1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18"/>
      <w:szCs w:val="18"/>
    </w:rPr>
  </w:style>
  <w:style w:type="paragraph" w:customStyle="1" w:styleId="15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16">
    <w:name w:val="xl2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1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18">
    <w:name w:val="xl2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19">
    <w:name w:val="xl2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20">
    <w:name w:val="xl2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21">
    <w:name w:val="xl29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22">
    <w:name w:val="xl30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kern w:val="0"/>
      <w:szCs w:val="21"/>
    </w:rPr>
  </w:style>
  <w:style w:type="paragraph" w:customStyle="1" w:styleId="23">
    <w:name w:val="xl31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24">
    <w:name w:val="xl32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25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26">
    <w:name w:val="xl34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27">
    <w:name w:val="xl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kern w:val="0"/>
      <w:szCs w:val="21"/>
    </w:rPr>
  </w:style>
  <w:style w:type="paragraph" w:customStyle="1" w:styleId="28">
    <w:name w:val="xl3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/>
      <w:kern w:val="0"/>
      <w:szCs w:val="21"/>
    </w:rPr>
  </w:style>
  <w:style w:type="paragraph" w:customStyle="1" w:styleId="29">
    <w:name w:val="xl3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30">
    <w:name w:val="xl38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31">
    <w:name w:val="xl39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32">
    <w:name w:val="xl40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right"/>
      <w:textAlignment w:val="top"/>
    </w:pPr>
    <w:rPr>
      <w:kern w:val="0"/>
      <w:szCs w:val="21"/>
    </w:rPr>
  </w:style>
  <w:style w:type="paragraph" w:customStyle="1" w:styleId="33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kern w:val="0"/>
      <w:szCs w:val="21"/>
    </w:rPr>
  </w:style>
  <w:style w:type="paragraph" w:customStyle="1" w:styleId="34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Cs w:val="21"/>
    </w:rPr>
  </w:style>
  <w:style w:type="paragraph" w:customStyle="1" w:styleId="35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Cs w:val="21"/>
    </w:rPr>
  </w:style>
  <w:style w:type="paragraph" w:customStyle="1" w:styleId="36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 w:val="24"/>
    </w:rPr>
  </w:style>
  <w:style w:type="paragraph" w:customStyle="1" w:styleId="37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 w:val="18"/>
      <w:szCs w:val="18"/>
    </w:rPr>
  </w:style>
  <w:style w:type="paragraph" w:customStyle="1" w:styleId="38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0"/>
      <w:szCs w:val="20"/>
    </w:rPr>
  </w:style>
  <w:style w:type="paragraph" w:customStyle="1" w:styleId="39">
    <w:name w:val="xl4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40">
    <w:name w:val="xl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41">
    <w:name w:val="xl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/>
      <w:kern w:val="0"/>
      <w:sz w:val="20"/>
      <w:szCs w:val="20"/>
    </w:rPr>
  </w:style>
  <w:style w:type="paragraph" w:customStyle="1" w:styleId="42">
    <w:name w:val="xl5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43">
    <w:name w:val="xl5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 w:val="20"/>
      <w:szCs w:val="20"/>
    </w:rPr>
  </w:style>
  <w:style w:type="paragraph" w:customStyle="1" w:styleId="44">
    <w:name w:val="xl5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 w:val="20"/>
      <w:szCs w:val="20"/>
    </w:rPr>
  </w:style>
  <w:style w:type="paragraph" w:customStyle="1" w:styleId="45">
    <w:name w:val="xl5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top"/>
    </w:pPr>
    <w:rPr>
      <w:kern w:val="0"/>
      <w:sz w:val="20"/>
      <w:szCs w:val="20"/>
    </w:rPr>
  </w:style>
  <w:style w:type="paragraph" w:customStyle="1" w:styleId="46">
    <w:name w:val="xl54"/>
    <w:basedOn w:val="1"/>
    <w:qFormat/>
    <w:uiPriority w:val="0"/>
    <w:pPr>
      <w:widowControl/>
      <w:spacing w:before="100" w:beforeAutospacing="1" w:after="100" w:afterAutospacing="1"/>
      <w:textAlignment w:val="top"/>
    </w:pPr>
    <w:rPr>
      <w:rFonts w:ascii="宋体" w:hAnsi="宋体"/>
      <w:kern w:val="0"/>
      <w:szCs w:val="21"/>
    </w:rPr>
  </w:style>
  <w:style w:type="paragraph" w:customStyle="1" w:styleId="47">
    <w:name w:val="列出段落1"/>
    <w:basedOn w:val="1"/>
    <w:qFormat/>
    <w:uiPriority w:val="34"/>
    <w:pPr>
      <w:ind w:firstLine="420" w:firstLineChars="200"/>
    </w:pPr>
  </w:style>
  <w:style w:type="character" w:customStyle="1" w:styleId="48">
    <w:name w:val="font2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49">
    <w:name w:val="font0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  <w:vertAlign w:val="superscript"/>
    </w:rPr>
  </w:style>
  <w:style w:type="character" w:customStyle="1" w:styleId="50">
    <w:name w:val="font1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51">
    <w:name w:val="font5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2">
    <w:name w:val="font4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3">
    <w:name w:val="font3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4">
    <w:name w:val="页脚 Char"/>
    <w:basedOn w:val="10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34D2BD-1DC9-4CC8-AE22-7176D477A8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sgdw</Company>
  <Pages>11</Pages>
  <Words>5036</Words>
  <Characters>5800</Characters>
  <Lines>42</Lines>
  <Paragraphs>12</Paragraphs>
  <TotalTime>1</TotalTime>
  <ScaleCrop>false</ScaleCrop>
  <LinksUpToDate>false</LinksUpToDate>
  <CharactersWithSpaces>5863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2016-03-01T07:33:00Z</dcterms:created>
  <dc:creator>jsb</dc:creator>
  <cp:lastModifiedBy>文思</cp:lastModifiedBy>
  <cp:lastPrinted>2005-06-30T03:21:00Z</cp:lastPrinted>
  <dcterms:modified xsi:type="dcterms:W3CDTF">2021-09-07T15:18:23Z</dcterms:modified>
  <dc:title>第一章 总体设计要求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1730172DB44E4B81B7DFE225A59B7989</vt:lpwstr>
  </property>
</Properties>
</file>