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kern w:val="0"/>
          <w:sz w:val="72"/>
          <w:szCs w:val="24"/>
        </w:rPr>
      </w:pPr>
      <w:r>
        <w:rPr>
          <w:rFonts w:ascii="宋体" w:hAnsi="宋体" w:eastAsia="宋体" w:cs="宋体"/>
          <w:bCs/>
          <w:kern w:val="0"/>
          <w:sz w:val="72"/>
          <w:szCs w:val="24"/>
        </w:rPr>
        <w:t>询价通知书</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Style w:val="17"/>
          <w:rFonts w:hint="eastAsia" w:ascii="宋体" w:hAnsi="宋体" w:eastAsia="宋体" w:cs="宋体"/>
          <w:b w:val="0"/>
          <w:bCs w:val="0"/>
          <w:spacing w:val="0"/>
          <w:sz w:val="36"/>
          <w:szCs w:val="36"/>
        </w:rPr>
      </w:pPr>
      <w:r>
        <w:rPr>
          <w:rFonts w:hint="eastAsia" w:ascii="宋体" w:hAnsi="宋体" w:eastAsia="宋体" w:cs="宋体"/>
          <w:bCs/>
          <w:kern w:val="0"/>
          <w:sz w:val="36"/>
          <w:szCs w:val="24"/>
          <w:lang w:val="en-US" w:eastAsia="zh-CN"/>
        </w:rPr>
        <w:t xml:space="preserve"> </w:t>
      </w:r>
      <w:r>
        <w:rPr>
          <w:rFonts w:ascii="宋体" w:hAnsi="宋体" w:eastAsia="宋体" w:cs="宋体"/>
          <w:bCs/>
          <w:kern w:val="0"/>
          <w:sz w:val="36"/>
          <w:szCs w:val="24"/>
        </w:rPr>
        <w:t>项目名称：</w:t>
      </w:r>
      <w:r>
        <w:rPr>
          <w:rStyle w:val="17"/>
          <w:rFonts w:hint="eastAsia" w:ascii="宋体" w:hAnsi="宋体" w:eastAsia="宋体" w:cs="宋体"/>
          <w:b w:val="0"/>
          <w:bCs w:val="0"/>
          <w:spacing w:val="0"/>
          <w:sz w:val="36"/>
          <w:szCs w:val="36"/>
        </w:rPr>
        <w:t>三明市高级技工学校鉴定考试机房设备</w:t>
      </w:r>
    </w:p>
    <w:p>
      <w:pPr>
        <w:widowControl/>
        <w:shd w:val="clear" w:color="auto" w:fill="FFFFFF"/>
        <w:spacing w:line="360" w:lineRule="auto"/>
        <w:jc w:val="center"/>
        <w:rPr>
          <w:rFonts w:ascii="宋体" w:hAnsi="宋体" w:eastAsia="宋体" w:cs="宋体"/>
          <w:kern w:val="0"/>
          <w:sz w:val="36"/>
          <w:szCs w:val="24"/>
        </w:rPr>
      </w:pPr>
      <w:r>
        <w:rPr>
          <w:rStyle w:val="17"/>
          <w:rFonts w:hint="eastAsia" w:ascii="宋体" w:hAnsi="宋体" w:eastAsia="宋体" w:cs="宋体"/>
          <w:b w:val="0"/>
          <w:bCs w:val="0"/>
          <w:spacing w:val="0"/>
          <w:sz w:val="36"/>
          <w:szCs w:val="36"/>
        </w:rPr>
        <w:t>采购货物类采购项目</w:t>
      </w:r>
    </w:p>
    <w:p>
      <w:pPr>
        <w:widowControl/>
        <w:shd w:val="clear" w:color="auto" w:fill="FFFFFF"/>
        <w:spacing w:line="360" w:lineRule="auto"/>
        <w:jc w:val="center"/>
        <w:rPr>
          <w:rFonts w:ascii="宋体" w:hAnsi="宋体" w:eastAsia="宋体" w:cs="宋体"/>
          <w:kern w:val="0"/>
          <w:sz w:val="36"/>
          <w:szCs w:val="24"/>
        </w:rPr>
      </w:pPr>
    </w:p>
    <w:p>
      <w:pPr>
        <w:widowControl/>
        <w:shd w:val="clear" w:color="auto" w:fill="FFFFFF"/>
        <w:spacing w:line="360" w:lineRule="auto"/>
        <w:ind w:firstLine="360" w:firstLineChars="100"/>
        <w:jc w:val="both"/>
        <w:rPr>
          <w:rFonts w:hint="default" w:ascii="宋体" w:hAnsi="宋体" w:eastAsia="宋体" w:cs="宋体"/>
          <w:kern w:val="0"/>
          <w:sz w:val="36"/>
          <w:szCs w:val="24"/>
          <w:lang w:val="en-US" w:eastAsia="zh-CN"/>
        </w:rPr>
      </w:pPr>
      <w:r>
        <w:rPr>
          <w:rFonts w:ascii="宋体" w:hAnsi="宋体" w:eastAsia="宋体" w:cs="宋体"/>
          <w:bCs/>
          <w:kern w:val="0"/>
          <w:sz w:val="36"/>
          <w:szCs w:val="24"/>
        </w:rPr>
        <w:t>项目编号：SMGD</w:t>
      </w:r>
      <w:r>
        <w:rPr>
          <w:rFonts w:hint="eastAsia" w:ascii="宋体" w:hAnsi="宋体" w:eastAsia="宋体" w:cs="宋体"/>
          <w:bCs/>
          <w:kern w:val="0"/>
          <w:sz w:val="36"/>
          <w:szCs w:val="24"/>
        </w:rPr>
        <w:t>WL2019</w:t>
      </w:r>
      <w:r>
        <w:rPr>
          <w:rFonts w:hint="eastAsia" w:ascii="宋体" w:hAnsi="宋体" w:eastAsia="宋体" w:cs="宋体"/>
          <w:bCs/>
          <w:kern w:val="0"/>
          <w:sz w:val="36"/>
          <w:szCs w:val="24"/>
          <w:lang w:val="en-US" w:eastAsia="zh-CN"/>
        </w:rPr>
        <w:t>1219</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bCs/>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sz w:val="36"/>
          <w:szCs w:val="24"/>
        </w:rPr>
      </w:pPr>
      <w:r>
        <w:rPr>
          <w:rFonts w:hint="eastAsia" w:ascii="宋体" w:hAnsi="宋体" w:eastAsia="宋体"/>
          <w:sz w:val="36"/>
          <w:szCs w:val="24"/>
        </w:rPr>
        <w:t>福建广电网络集团股份有限公司三明</w:t>
      </w:r>
      <w:r>
        <w:rPr>
          <w:rFonts w:hint="eastAsia" w:ascii="宋体" w:hAnsi="宋体" w:eastAsia="宋体"/>
          <w:sz w:val="36"/>
          <w:szCs w:val="24"/>
          <w:lang w:eastAsia="zh-CN"/>
        </w:rPr>
        <w:t>城区</w:t>
      </w:r>
      <w:r>
        <w:rPr>
          <w:rFonts w:hint="eastAsia" w:ascii="宋体" w:hAnsi="宋体" w:eastAsia="宋体"/>
          <w:sz w:val="36"/>
          <w:szCs w:val="24"/>
        </w:rPr>
        <w:t>分公司</w:t>
      </w:r>
    </w:p>
    <w:p>
      <w:pPr>
        <w:widowControl/>
        <w:shd w:val="clear" w:color="auto" w:fill="FFFFFF"/>
        <w:spacing w:line="360" w:lineRule="auto"/>
        <w:jc w:val="center"/>
        <w:rPr>
          <w:rFonts w:ascii="宋体" w:hAnsi="宋体" w:eastAsia="宋体" w:cs="宋体"/>
          <w:bCs/>
          <w:kern w:val="0"/>
          <w:sz w:val="36"/>
          <w:szCs w:val="24"/>
        </w:rPr>
      </w:pPr>
      <w:r>
        <w:rPr>
          <w:rFonts w:ascii="宋体" w:hAnsi="宋体" w:eastAsia="宋体" w:cs="宋体"/>
          <w:bCs/>
          <w:kern w:val="0"/>
          <w:sz w:val="36"/>
          <w:szCs w:val="24"/>
        </w:rPr>
        <w:t>201</w:t>
      </w:r>
      <w:r>
        <w:rPr>
          <w:rFonts w:hint="eastAsia" w:ascii="宋体" w:hAnsi="宋体" w:eastAsia="宋体" w:cs="宋体"/>
          <w:bCs/>
          <w:kern w:val="0"/>
          <w:sz w:val="36"/>
          <w:szCs w:val="24"/>
        </w:rPr>
        <w:t>9</w:t>
      </w:r>
      <w:r>
        <w:rPr>
          <w:rFonts w:ascii="宋体" w:hAnsi="宋体" w:eastAsia="宋体" w:cs="宋体"/>
          <w:bCs/>
          <w:kern w:val="0"/>
          <w:sz w:val="36"/>
          <w:szCs w:val="24"/>
        </w:rPr>
        <w:t>年</w:t>
      </w:r>
      <w:r>
        <w:rPr>
          <w:rFonts w:hint="eastAsia" w:ascii="宋体" w:hAnsi="宋体" w:eastAsia="宋体" w:cs="宋体"/>
          <w:bCs/>
          <w:kern w:val="0"/>
          <w:sz w:val="36"/>
          <w:szCs w:val="24"/>
          <w:lang w:val="en-US" w:eastAsia="zh-CN"/>
        </w:rPr>
        <w:t>12</w:t>
      </w:r>
      <w:r>
        <w:rPr>
          <w:rFonts w:ascii="宋体" w:hAnsi="宋体" w:eastAsia="宋体" w:cs="宋体"/>
          <w:bCs/>
          <w:kern w:val="0"/>
          <w:sz w:val="36"/>
          <w:szCs w:val="24"/>
        </w:rPr>
        <w:t>月</w:t>
      </w:r>
      <w:r>
        <w:rPr>
          <w:rFonts w:ascii="宋体" w:hAnsi="宋体" w:eastAsia="宋体" w:cs="宋体"/>
          <w:bCs/>
          <w:kern w:val="0"/>
          <w:sz w:val="36"/>
          <w:szCs w:val="24"/>
        </w:rPr>
        <w:br w:type="page"/>
      </w:r>
    </w:p>
    <w:sdt>
      <w:sdtPr>
        <w:rPr>
          <w:rFonts w:ascii="宋体" w:hAnsi="宋体" w:eastAsia="宋体"/>
          <w:b/>
          <w:lang w:val="zh-CN"/>
        </w:rPr>
        <w:id w:val="944734925"/>
        <w:docPartObj>
          <w:docPartGallery w:val="Table of Contents"/>
          <w:docPartUnique/>
        </w:docPartObj>
      </w:sdtPr>
      <w:sdtEndPr>
        <w:rPr>
          <w:rFonts w:ascii="宋体" w:hAnsi="宋体" w:eastAsia="宋体"/>
          <w:b/>
          <w:bCs/>
          <w:lang w:val="zh-CN"/>
        </w:rPr>
      </w:sdtEndPr>
      <w:sdtContent>
        <w:p>
          <w:pPr>
            <w:widowControl/>
            <w:spacing w:line="360" w:lineRule="auto"/>
            <w:jc w:val="center"/>
            <w:rPr>
              <w:rFonts w:ascii="宋体" w:hAnsi="宋体" w:eastAsia="宋体"/>
              <w:b/>
              <w:sz w:val="40"/>
            </w:rPr>
          </w:pPr>
          <w:r>
            <w:rPr>
              <w:rFonts w:ascii="宋体" w:hAnsi="宋体" w:eastAsia="宋体"/>
              <w:b/>
              <w:sz w:val="40"/>
              <w:lang w:val="zh-CN"/>
            </w:rPr>
            <w:t>目录</w:t>
          </w:r>
        </w:p>
        <w:p>
          <w:pPr>
            <w:pStyle w:val="10"/>
            <w:tabs>
              <w:tab w:val="right" w:leader="dot" w:pos="8296"/>
            </w:tabs>
          </w:pPr>
          <w:r>
            <w:rPr>
              <w:rFonts w:ascii="宋体" w:hAnsi="宋体" w:eastAsia="宋体"/>
              <w:b/>
            </w:rPr>
            <w:fldChar w:fldCharType="begin"/>
          </w:r>
          <w:r>
            <w:rPr>
              <w:rFonts w:ascii="宋体" w:hAnsi="宋体" w:eastAsia="宋体"/>
              <w:b/>
            </w:rPr>
            <w:instrText xml:space="preserve"> TOC \o "1-3" \h \z \u </w:instrText>
          </w:r>
          <w:r>
            <w:rPr>
              <w:rFonts w:ascii="宋体" w:hAnsi="宋体" w:eastAsia="宋体"/>
              <w:b/>
            </w:rPr>
            <w:fldChar w:fldCharType="separate"/>
          </w:r>
          <w:r>
            <w:fldChar w:fldCharType="begin"/>
          </w:r>
          <w:r>
            <w:instrText xml:space="preserve"> HYPERLINK \l "_Toc25747442" </w:instrText>
          </w:r>
          <w:r>
            <w:fldChar w:fldCharType="separate"/>
          </w:r>
          <w:r>
            <w:rPr>
              <w:rStyle w:val="20"/>
              <w:rFonts w:hint="eastAsia"/>
            </w:rPr>
            <w:t>第一章询价邀请</w:t>
          </w:r>
          <w:r>
            <w:rPr>
              <w:rStyle w:val="20"/>
            </w:rPr>
            <w:t>/</w:t>
          </w:r>
          <w:r>
            <w:rPr>
              <w:rStyle w:val="20"/>
              <w:rFonts w:hint="eastAsia"/>
            </w:rPr>
            <w:t>询价邀请书</w:t>
          </w:r>
          <w:r>
            <w:tab/>
          </w:r>
          <w:r>
            <w:fldChar w:fldCharType="begin"/>
          </w:r>
          <w:r>
            <w:instrText xml:space="preserve"> PAGEREF _Toc25747442 \h </w:instrText>
          </w:r>
          <w:r>
            <w:fldChar w:fldCharType="separate"/>
          </w:r>
          <w:r>
            <w:t>1</w:t>
          </w:r>
          <w:r>
            <w:fldChar w:fldCharType="end"/>
          </w:r>
          <w:r>
            <w:fldChar w:fldCharType="end"/>
          </w:r>
        </w:p>
        <w:p>
          <w:pPr>
            <w:pStyle w:val="10"/>
            <w:tabs>
              <w:tab w:val="right" w:leader="dot" w:pos="8296"/>
            </w:tabs>
          </w:pPr>
          <w:r>
            <w:fldChar w:fldCharType="begin"/>
          </w:r>
          <w:r>
            <w:instrText xml:space="preserve"> HYPERLINK \l "_Toc25747443" </w:instrText>
          </w:r>
          <w:r>
            <w:fldChar w:fldCharType="separate"/>
          </w:r>
          <w:r>
            <w:rPr>
              <w:rStyle w:val="20"/>
              <w:rFonts w:hint="eastAsia"/>
            </w:rPr>
            <w:t>第二章询价须知</w:t>
          </w:r>
          <w:r>
            <w:tab/>
          </w:r>
          <w:r>
            <w:fldChar w:fldCharType="begin"/>
          </w:r>
          <w:r>
            <w:instrText xml:space="preserve"> PAGEREF _Toc25747443 \h </w:instrText>
          </w:r>
          <w:r>
            <w:fldChar w:fldCharType="separate"/>
          </w:r>
          <w:r>
            <w:t>2</w:t>
          </w:r>
          <w:r>
            <w:fldChar w:fldCharType="end"/>
          </w:r>
          <w:r>
            <w:fldChar w:fldCharType="end"/>
          </w:r>
        </w:p>
        <w:p>
          <w:pPr>
            <w:pStyle w:val="10"/>
            <w:tabs>
              <w:tab w:val="right" w:leader="dot" w:pos="8296"/>
            </w:tabs>
          </w:pPr>
          <w:r>
            <w:fldChar w:fldCharType="begin"/>
          </w:r>
          <w:r>
            <w:instrText xml:space="preserve"> HYPERLINK \l "_Toc25747444" </w:instrText>
          </w:r>
          <w:r>
            <w:fldChar w:fldCharType="separate"/>
          </w:r>
          <w:r>
            <w:rPr>
              <w:rStyle w:val="20"/>
              <w:rFonts w:hint="eastAsia"/>
            </w:rPr>
            <w:t>第三章询价内容及要求</w:t>
          </w:r>
          <w:r>
            <w:tab/>
          </w:r>
          <w:r>
            <w:fldChar w:fldCharType="begin"/>
          </w:r>
          <w:r>
            <w:instrText xml:space="preserve"> PAGEREF _Toc25747444 \h </w:instrText>
          </w:r>
          <w:r>
            <w:fldChar w:fldCharType="separate"/>
          </w:r>
          <w:r>
            <w:t>3</w:t>
          </w:r>
          <w:r>
            <w:fldChar w:fldCharType="end"/>
          </w:r>
          <w:r>
            <w:fldChar w:fldCharType="end"/>
          </w:r>
        </w:p>
        <w:p>
          <w:pPr>
            <w:pStyle w:val="11"/>
            <w:tabs>
              <w:tab w:val="right" w:leader="dot" w:pos="8296"/>
            </w:tabs>
          </w:pPr>
          <w:r>
            <w:fldChar w:fldCharType="begin"/>
          </w:r>
          <w:r>
            <w:instrText xml:space="preserve"> HYPERLINK \l "_Toc25747445" </w:instrText>
          </w:r>
          <w:r>
            <w:fldChar w:fldCharType="separate"/>
          </w:r>
          <w:r>
            <w:rPr>
              <w:rStyle w:val="20"/>
              <w:rFonts w:hint="eastAsia"/>
            </w:rPr>
            <w:t>一、采购标的一览表</w:t>
          </w:r>
          <w:r>
            <w:tab/>
          </w:r>
          <w:r>
            <w:fldChar w:fldCharType="begin"/>
          </w:r>
          <w:r>
            <w:instrText xml:space="preserve"> PAGEREF _Toc25747445 \h </w:instrText>
          </w:r>
          <w:r>
            <w:fldChar w:fldCharType="separate"/>
          </w:r>
          <w:r>
            <w:t>3</w:t>
          </w:r>
          <w:r>
            <w:fldChar w:fldCharType="end"/>
          </w:r>
          <w:r>
            <w:fldChar w:fldCharType="end"/>
          </w:r>
        </w:p>
        <w:p>
          <w:pPr>
            <w:pStyle w:val="11"/>
            <w:tabs>
              <w:tab w:val="right" w:leader="dot" w:pos="8296"/>
            </w:tabs>
          </w:pPr>
          <w:r>
            <w:fldChar w:fldCharType="begin"/>
          </w:r>
          <w:r>
            <w:instrText xml:space="preserve"> HYPERLINK \l "_Toc25747446" </w:instrText>
          </w:r>
          <w:r>
            <w:fldChar w:fldCharType="separate"/>
          </w:r>
          <w:r>
            <w:rPr>
              <w:rStyle w:val="20"/>
              <w:rFonts w:hint="eastAsia"/>
            </w:rPr>
            <w:t>二、技术要求（以下内容不允许负偏离）</w:t>
          </w:r>
          <w:r>
            <w:tab/>
          </w:r>
          <w:r>
            <w:fldChar w:fldCharType="begin"/>
          </w:r>
          <w:r>
            <w:instrText xml:space="preserve"> PAGEREF _Toc25747446 \h </w:instrText>
          </w:r>
          <w:r>
            <w:fldChar w:fldCharType="separate"/>
          </w:r>
          <w:r>
            <w:t>3</w:t>
          </w:r>
          <w:r>
            <w:fldChar w:fldCharType="end"/>
          </w:r>
          <w:r>
            <w:fldChar w:fldCharType="end"/>
          </w:r>
        </w:p>
        <w:p>
          <w:pPr>
            <w:pStyle w:val="10"/>
            <w:tabs>
              <w:tab w:val="right" w:leader="dot" w:pos="8296"/>
            </w:tabs>
          </w:pPr>
          <w:r>
            <w:fldChar w:fldCharType="begin"/>
          </w:r>
          <w:r>
            <w:instrText xml:space="preserve"> HYPERLINK \l "_Toc25747447" </w:instrText>
          </w:r>
          <w:r>
            <w:fldChar w:fldCharType="separate"/>
          </w:r>
          <w:r>
            <w:rPr>
              <w:rStyle w:val="20"/>
              <w:rFonts w:hint="eastAsia"/>
            </w:rPr>
            <w:t>第四章响应文件格式</w:t>
          </w:r>
          <w:r>
            <w:tab/>
          </w:r>
          <w:r>
            <w:fldChar w:fldCharType="begin"/>
          </w:r>
          <w:r>
            <w:instrText xml:space="preserve"> PAGEREF _Toc25747447 \h </w:instrText>
          </w:r>
          <w:r>
            <w:fldChar w:fldCharType="separate"/>
          </w:r>
          <w:r>
            <w:t>14</w:t>
          </w:r>
          <w:r>
            <w:fldChar w:fldCharType="end"/>
          </w:r>
          <w:r>
            <w:fldChar w:fldCharType="end"/>
          </w:r>
        </w:p>
        <w:p>
          <w:pPr>
            <w:pStyle w:val="11"/>
            <w:tabs>
              <w:tab w:val="right" w:leader="dot" w:pos="8296"/>
            </w:tabs>
          </w:pPr>
          <w:r>
            <w:fldChar w:fldCharType="begin"/>
          </w:r>
          <w:r>
            <w:instrText xml:space="preserve"> HYPERLINK \l "_Toc25747448" </w:instrText>
          </w:r>
          <w:r>
            <w:fldChar w:fldCharType="separate"/>
          </w:r>
          <w:r>
            <w:rPr>
              <w:rStyle w:val="20"/>
              <w:rFonts w:hint="eastAsia" w:cs="Calibri"/>
            </w:rPr>
            <w:t>一</w:t>
          </w:r>
          <w:r>
            <w:rPr>
              <w:rStyle w:val="20"/>
              <w:rFonts w:hint="eastAsia"/>
            </w:rPr>
            <w:t>、投标函</w:t>
          </w:r>
          <w:r>
            <w:tab/>
          </w:r>
          <w:r>
            <w:fldChar w:fldCharType="begin"/>
          </w:r>
          <w:r>
            <w:instrText xml:space="preserve"> PAGEREF _Toc25747448 \h </w:instrText>
          </w:r>
          <w:r>
            <w:fldChar w:fldCharType="separate"/>
          </w:r>
          <w:r>
            <w:t>16</w:t>
          </w:r>
          <w:r>
            <w:fldChar w:fldCharType="end"/>
          </w:r>
          <w:r>
            <w:fldChar w:fldCharType="end"/>
          </w:r>
        </w:p>
        <w:p>
          <w:pPr>
            <w:pStyle w:val="11"/>
            <w:tabs>
              <w:tab w:val="right" w:leader="dot" w:pos="8296"/>
            </w:tabs>
          </w:pPr>
          <w:r>
            <w:fldChar w:fldCharType="begin"/>
          </w:r>
          <w:r>
            <w:instrText xml:space="preserve"> HYPERLINK \l "_Toc25747449" </w:instrText>
          </w:r>
          <w:r>
            <w:fldChar w:fldCharType="separate"/>
          </w:r>
          <w:r>
            <w:rPr>
              <w:rStyle w:val="20"/>
              <w:rFonts w:hint="eastAsia"/>
            </w:rPr>
            <w:t>二、报价表</w:t>
          </w:r>
          <w:r>
            <w:tab/>
          </w:r>
          <w:r>
            <w:fldChar w:fldCharType="begin"/>
          </w:r>
          <w:r>
            <w:instrText xml:space="preserve"> PAGEREF _Toc25747449 \h </w:instrText>
          </w:r>
          <w:r>
            <w:fldChar w:fldCharType="separate"/>
          </w:r>
          <w:r>
            <w:t>18</w:t>
          </w:r>
          <w:r>
            <w:fldChar w:fldCharType="end"/>
          </w:r>
          <w:r>
            <w:fldChar w:fldCharType="end"/>
          </w:r>
        </w:p>
        <w:p>
          <w:pPr>
            <w:pStyle w:val="11"/>
            <w:tabs>
              <w:tab w:val="right" w:leader="dot" w:pos="8296"/>
            </w:tabs>
          </w:pPr>
          <w:r>
            <w:fldChar w:fldCharType="begin"/>
          </w:r>
          <w:r>
            <w:instrText xml:space="preserve"> HYPERLINK \l "_Toc25747450" </w:instrText>
          </w:r>
          <w:r>
            <w:fldChar w:fldCharType="separate"/>
          </w:r>
          <w:r>
            <w:rPr>
              <w:rStyle w:val="20"/>
              <w:rFonts w:hint="eastAsia"/>
            </w:rPr>
            <w:t>三、资格证明文件</w:t>
          </w:r>
          <w:r>
            <w:tab/>
          </w:r>
          <w:r>
            <w:fldChar w:fldCharType="begin"/>
          </w:r>
          <w:r>
            <w:instrText xml:space="preserve"> PAGEREF _Toc25747450 \h </w:instrText>
          </w:r>
          <w:r>
            <w:fldChar w:fldCharType="separate"/>
          </w:r>
          <w:r>
            <w:t>19</w:t>
          </w:r>
          <w:r>
            <w:fldChar w:fldCharType="end"/>
          </w:r>
          <w:r>
            <w:fldChar w:fldCharType="end"/>
          </w:r>
        </w:p>
        <w:p>
          <w:pPr>
            <w:pStyle w:val="6"/>
            <w:tabs>
              <w:tab w:val="right" w:leader="dot" w:pos="8296"/>
            </w:tabs>
          </w:pPr>
          <w:r>
            <w:fldChar w:fldCharType="begin"/>
          </w:r>
          <w:r>
            <w:instrText xml:space="preserve"> HYPERLINK \l "_Toc25747451" </w:instrText>
          </w:r>
          <w:r>
            <w:fldChar w:fldCharType="separate"/>
          </w:r>
          <w:r>
            <w:rPr>
              <w:rStyle w:val="20"/>
            </w:rPr>
            <w:t>3-1</w:t>
          </w:r>
          <w:r>
            <w:rPr>
              <w:rStyle w:val="20"/>
              <w:rFonts w:hint="eastAsia"/>
            </w:rPr>
            <w:t>单位负责人授权书（若有）</w:t>
          </w:r>
          <w:r>
            <w:tab/>
          </w:r>
          <w:r>
            <w:fldChar w:fldCharType="begin"/>
          </w:r>
          <w:r>
            <w:instrText xml:space="preserve"> PAGEREF _Toc25747451 \h </w:instrText>
          </w:r>
          <w:r>
            <w:fldChar w:fldCharType="separate"/>
          </w:r>
          <w:r>
            <w:t>19</w:t>
          </w:r>
          <w:r>
            <w:fldChar w:fldCharType="end"/>
          </w:r>
          <w:r>
            <w:fldChar w:fldCharType="end"/>
          </w:r>
        </w:p>
        <w:p>
          <w:pPr>
            <w:pStyle w:val="6"/>
            <w:tabs>
              <w:tab w:val="right" w:leader="dot" w:pos="8296"/>
            </w:tabs>
          </w:pPr>
          <w:r>
            <w:fldChar w:fldCharType="begin"/>
          </w:r>
          <w:r>
            <w:instrText xml:space="preserve"> HYPERLINK \l "_Toc25747452" </w:instrText>
          </w:r>
          <w:r>
            <w:fldChar w:fldCharType="separate"/>
          </w:r>
          <w:r>
            <w:rPr>
              <w:rStyle w:val="20"/>
            </w:rPr>
            <w:t>3-2</w:t>
          </w:r>
          <w:r>
            <w:rPr>
              <w:rStyle w:val="20"/>
              <w:rFonts w:hint="eastAsia"/>
            </w:rPr>
            <w:t>营业执照等证明文件</w:t>
          </w:r>
          <w:r>
            <w:tab/>
          </w:r>
          <w:r>
            <w:fldChar w:fldCharType="begin"/>
          </w:r>
          <w:r>
            <w:instrText xml:space="preserve"> PAGEREF _Toc25747452 \h </w:instrText>
          </w:r>
          <w:r>
            <w:fldChar w:fldCharType="separate"/>
          </w:r>
          <w:r>
            <w:t>20</w:t>
          </w:r>
          <w:r>
            <w:fldChar w:fldCharType="end"/>
          </w:r>
          <w:r>
            <w:fldChar w:fldCharType="end"/>
          </w:r>
        </w:p>
        <w:p>
          <w:pPr>
            <w:pStyle w:val="11"/>
            <w:tabs>
              <w:tab w:val="right" w:leader="dot" w:pos="8296"/>
            </w:tabs>
          </w:pPr>
          <w:r>
            <w:fldChar w:fldCharType="begin"/>
          </w:r>
          <w:r>
            <w:instrText xml:space="preserve"> HYPERLINK \l "_Toc25747453" </w:instrText>
          </w:r>
          <w:r>
            <w:fldChar w:fldCharType="separate"/>
          </w:r>
          <w:r>
            <w:rPr>
              <w:rStyle w:val="20"/>
              <w:rFonts w:hint="eastAsia"/>
            </w:rPr>
            <w:t>四、技术要求响应表</w:t>
          </w:r>
          <w:r>
            <w:tab/>
          </w:r>
          <w:r>
            <w:fldChar w:fldCharType="begin"/>
          </w:r>
          <w:r>
            <w:instrText xml:space="preserve"> PAGEREF _Toc25747453 \h </w:instrText>
          </w:r>
          <w:r>
            <w:fldChar w:fldCharType="separate"/>
          </w:r>
          <w:r>
            <w:t>21</w:t>
          </w:r>
          <w:r>
            <w:fldChar w:fldCharType="end"/>
          </w:r>
          <w:r>
            <w:fldChar w:fldCharType="end"/>
          </w:r>
        </w:p>
        <w:p>
          <w:pPr>
            <w:pStyle w:val="11"/>
            <w:tabs>
              <w:tab w:val="right" w:leader="dot" w:pos="8296"/>
            </w:tabs>
          </w:pPr>
          <w:r>
            <w:fldChar w:fldCharType="begin"/>
          </w:r>
          <w:r>
            <w:instrText xml:space="preserve"> HYPERLINK \l "_Toc25747454" </w:instrText>
          </w:r>
          <w:r>
            <w:fldChar w:fldCharType="separate"/>
          </w:r>
          <w:r>
            <w:rPr>
              <w:rStyle w:val="20"/>
              <w:rFonts w:hint="eastAsia"/>
            </w:rPr>
            <w:t>五、商务条件响应表</w:t>
          </w:r>
          <w:r>
            <w:tab/>
          </w:r>
          <w:r>
            <w:fldChar w:fldCharType="begin"/>
          </w:r>
          <w:r>
            <w:instrText xml:space="preserve"> PAGEREF _Toc25747454 \h </w:instrText>
          </w:r>
          <w:r>
            <w:fldChar w:fldCharType="separate"/>
          </w:r>
          <w:r>
            <w:t>22</w:t>
          </w:r>
          <w:r>
            <w:fldChar w:fldCharType="end"/>
          </w:r>
          <w:r>
            <w:fldChar w:fldCharType="end"/>
          </w:r>
        </w:p>
        <w:p>
          <w:pPr>
            <w:pStyle w:val="11"/>
            <w:tabs>
              <w:tab w:val="right" w:leader="dot" w:pos="8296"/>
            </w:tabs>
          </w:pPr>
          <w:r>
            <w:fldChar w:fldCharType="begin"/>
          </w:r>
          <w:r>
            <w:instrText xml:space="preserve"> HYPERLINK \l "_Toc25747455" </w:instrText>
          </w:r>
          <w:r>
            <w:fldChar w:fldCharType="separate"/>
          </w:r>
          <w:r>
            <w:rPr>
              <w:rStyle w:val="20"/>
              <w:rFonts w:hint="eastAsia"/>
            </w:rPr>
            <w:t>六、售后服务承诺函</w:t>
          </w:r>
          <w:r>
            <w:tab/>
          </w:r>
          <w:r>
            <w:fldChar w:fldCharType="begin"/>
          </w:r>
          <w:r>
            <w:instrText xml:space="preserve"> PAGEREF _Toc25747455 \h </w:instrText>
          </w:r>
          <w:r>
            <w:fldChar w:fldCharType="separate"/>
          </w:r>
          <w:r>
            <w:t>23</w:t>
          </w:r>
          <w:r>
            <w:fldChar w:fldCharType="end"/>
          </w:r>
          <w:r>
            <w:fldChar w:fldCharType="end"/>
          </w:r>
        </w:p>
        <w:p>
          <w:pPr>
            <w:spacing w:line="360" w:lineRule="auto"/>
          </w:pPr>
          <w:r>
            <w:rPr>
              <w:rFonts w:ascii="宋体" w:hAnsi="宋体" w:eastAsia="宋体"/>
              <w:b/>
              <w:bCs/>
              <w:lang w:val="zh-CN"/>
            </w:rPr>
            <w:fldChar w:fldCharType="end"/>
          </w:r>
        </w:p>
      </w:sdtContent>
    </w:sdt>
    <w:p>
      <w:pPr>
        <w:widowControl/>
        <w:shd w:val="clear" w:color="auto" w:fill="FFFFFF"/>
        <w:spacing w:line="360" w:lineRule="auto"/>
        <w:jc w:val="center"/>
        <w:rPr>
          <w:rFonts w:ascii="宋体" w:hAnsi="宋体" w:eastAsia="宋体" w:cs="宋体"/>
          <w:bCs/>
          <w:sz w:val="36"/>
          <w:szCs w:val="24"/>
        </w:rPr>
      </w:pPr>
    </w:p>
    <w:p>
      <w:pPr>
        <w:widowControl/>
        <w:jc w:val="left"/>
        <w:rPr>
          <w:rFonts w:ascii="宋体" w:hAnsi="宋体" w:eastAsia="宋体" w:cs="宋体"/>
          <w:bCs/>
          <w:kern w:val="0"/>
          <w:sz w:val="36"/>
          <w:szCs w:val="24"/>
        </w:rPr>
        <w:sectPr>
          <w:pgSz w:w="11906" w:h="16838"/>
          <w:pgMar w:top="1440" w:right="1800" w:bottom="1440" w:left="1800" w:header="851" w:footer="992" w:gutter="0"/>
          <w:cols w:space="425" w:num="1"/>
          <w:docGrid w:type="lines" w:linePitch="312" w:charSpace="0"/>
        </w:sectPr>
      </w:pPr>
    </w:p>
    <w:p>
      <w:pPr>
        <w:pStyle w:val="2"/>
      </w:pPr>
      <w:bookmarkStart w:id="0" w:name="_Toc25747442"/>
      <w:r>
        <w:t>第一章询价邀请/询价邀请书</w:t>
      </w:r>
      <w:bookmarkEnd w:id="0"/>
    </w:p>
    <w:p>
      <w:pPr>
        <w:widowControl/>
        <w:shd w:val="clear" w:color="auto" w:fill="FFFFFF"/>
        <w:spacing w:line="360" w:lineRule="auto"/>
        <w:ind w:firstLine="480"/>
        <w:jc w:val="left"/>
        <w:rPr>
          <w:rFonts w:ascii="宋体" w:hAnsi="宋体" w:eastAsia="宋体"/>
          <w:sz w:val="24"/>
          <w:szCs w:val="24"/>
        </w:rPr>
      </w:pPr>
      <w:r>
        <w:rPr>
          <w:rFonts w:hint="eastAsia" w:ascii="宋体" w:hAnsi="宋体" w:eastAsia="宋体"/>
          <w:sz w:val="24"/>
          <w:szCs w:val="24"/>
        </w:rPr>
        <w:t>福建广电网络集团股份有限公司三明</w:t>
      </w:r>
      <w:r>
        <w:rPr>
          <w:rFonts w:hint="eastAsia" w:ascii="宋体" w:hAnsi="宋体" w:eastAsia="宋体"/>
          <w:sz w:val="24"/>
          <w:szCs w:val="24"/>
          <w:lang w:eastAsia="zh-CN"/>
        </w:rPr>
        <w:t>城区</w:t>
      </w:r>
      <w:r>
        <w:rPr>
          <w:rFonts w:hint="eastAsia" w:ascii="宋体" w:hAnsi="宋体" w:eastAsia="宋体"/>
          <w:sz w:val="24"/>
          <w:szCs w:val="24"/>
        </w:rPr>
        <w:t>分公司组织</w:t>
      </w:r>
      <w:r>
        <w:rPr>
          <w:rFonts w:hint="eastAsia" w:ascii="宋体" w:hAnsi="宋体" w:eastAsia="宋体" w:cs="宋体"/>
          <w:spacing w:val="0"/>
          <w:sz w:val="24"/>
          <w:szCs w:val="24"/>
          <w:u w:val="none"/>
        </w:rPr>
        <w:t>三明市高级技工学校鉴定考试机房设备采购货物类采购项目</w:t>
      </w:r>
      <w:r>
        <w:rPr>
          <w:rFonts w:hint="eastAsia" w:ascii="宋体" w:hAnsi="宋体" w:eastAsia="宋体"/>
          <w:sz w:val="24"/>
          <w:szCs w:val="24"/>
        </w:rPr>
        <w:t>标前询价，欢迎合格供应商前来参加。</w:t>
      </w:r>
    </w:p>
    <w:p>
      <w:pPr>
        <w:widowControl/>
        <w:shd w:val="clear" w:color="auto" w:fill="FFFFFF"/>
        <w:spacing w:line="360" w:lineRule="auto"/>
        <w:ind w:firstLine="480"/>
        <w:jc w:val="left"/>
        <w:rPr>
          <w:rFonts w:ascii="宋体" w:hAnsi="宋体" w:eastAsia="宋体"/>
          <w:sz w:val="24"/>
          <w:szCs w:val="24"/>
        </w:rPr>
      </w:pPr>
      <w:r>
        <w:rPr>
          <w:rFonts w:hint="eastAsia" w:ascii="宋体" w:hAnsi="宋体" w:eastAsia="宋体"/>
          <w:sz w:val="24"/>
          <w:szCs w:val="24"/>
        </w:rPr>
        <w:t>一、项目概况</w:t>
      </w:r>
    </w:p>
    <w:p>
      <w:pPr>
        <w:numPr>
          <w:ilvl w:val="0"/>
          <w:numId w:val="1"/>
        </w:numPr>
        <w:spacing w:line="360" w:lineRule="auto"/>
        <w:ind w:firstLine="480"/>
        <w:jc w:val="left"/>
        <w:rPr>
          <w:rFonts w:ascii="宋体" w:hAnsi="宋体" w:eastAsia="宋体"/>
          <w:sz w:val="24"/>
          <w:szCs w:val="24"/>
          <w:u w:val="single"/>
        </w:rPr>
      </w:pPr>
      <w:r>
        <w:rPr>
          <w:rFonts w:hint="eastAsia" w:ascii="宋体" w:hAnsi="宋体" w:eastAsia="宋体"/>
          <w:sz w:val="24"/>
          <w:szCs w:val="24"/>
        </w:rPr>
        <w:t>项目编号：</w:t>
      </w:r>
      <w:r>
        <w:rPr>
          <w:rFonts w:ascii="宋体" w:hAnsi="宋体" w:eastAsia="宋体"/>
          <w:sz w:val="24"/>
          <w:szCs w:val="24"/>
        </w:rPr>
        <w:t>SMGDWL201</w:t>
      </w:r>
      <w:r>
        <w:rPr>
          <w:rFonts w:hint="eastAsia" w:ascii="宋体" w:hAnsi="宋体" w:eastAsia="宋体"/>
          <w:sz w:val="24"/>
          <w:szCs w:val="24"/>
        </w:rPr>
        <w:t>9</w:t>
      </w:r>
      <w:r>
        <w:rPr>
          <w:rFonts w:hint="eastAsia" w:ascii="宋体" w:hAnsi="宋体" w:eastAsia="宋体"/>
          <w:sz w:val="24"/>
          <w:szCs w:val="24"/>
          <w:lang w:val="en-US" w:eastAsia="zh-CN"/>
        </w:rPr>
        <w:t>1219</w:t>
      </w:r>
    </w:p>
    <w:p>
      <w:pPr>
        <w:numPr>
          <w:ilvl w:val="0"/>
          <w:numId w:val="1"/>
        </w:numPr>
        <w:spacing w:line="360" w:lineRule="auto"/>
        <w:ind w:firstLine="480"/>
        <w:jc w:val="left"/>
        <w:rPr>
          <w:rFonts w:ascii="宋体" w:hAnsi="宋体" w:eastAsia="宋体"/>
          <w:sz w:val="24"/>
          <w:szCs w:val="24"/>
        </w:rPr>
      </w:pPr>
      <w:r>
        <w:rPr>
          <w:rFonts w:hint="eastAsia" w:ascii="宋体" w:hAnsi="宋体" w:eastAsia="宋体"/>
          <w:sz w:val="24"/>
          <w:szCs w:val="24"/>
        </w:rPr>
        <w:t>预算金额、最高限价：</w:t>
      </w:r>
      <w:r>
        <w:rPr>
          <w:rFonts w:hint="eastAsia" w:ascii="宋体" w:hAnsi="宋体" w:eastAsia="宋体"/>
          <w:sz w:val="24"/>
          <w:szCs w:val="24"/>
          <w:lang w:val="en-US" w:eastAsia="zh-CN"/>
        </w:rPr>
        <w:t>1100000</w:t>
      </w:r>
      <w:r>
        <w:rPr>
          <w:rFonts w:hint="eastAsia" w:ascii="宋体" w:hAnsi="宋体" w:eastAsia="宋体"/>
          <w:sz w:val="24"/>
          <w:szCs w:val="24"/>
        </w:rPr>
        <w:t>元</w:t>
      </w:r>
    </w:p>
    <w:p>
      <w:pPr>
        <w:numPr>
          <w:ilvl w:val="0"/>
          <w:numId w:val="1"/>
        </w:numPr>
        <w:spacing w:line="360" w:lineRule="auto"/>
        <w:ind w:firstLine="560"/>
        <w:jc w:val="left"/>
        <w:rPr>
          <w:rFonts w:ascii="宋体" w:hAnsi="宋体" w:eastAsia="宋体"/>
          <w:sz w:val="24"/>
          <w:szCs w:val="24"/>
        </w:rPr>
      </w:pPr>
      <w:r>
        <w:rPr>
          <w:rFonts w:ascii="宋体" w:hAnsi="宋体" w:eastAsia="宋体"/>
          <w:sz w:val="24"/>
          <w:szCs w:val="24"/>
        </w:rPr>
        <w:t>询价内容及技术商务依据</w:t>
      </w:r>
      <w:r>
        <w:rPr>
          <w:rFonts w:hint="eastAsia" w:ascii="宋体" w:hAnsi="宋体" w:eastAsia="宋体" w:cs="宋体"/>
          <w:spacing w:val="0"/>
          <w:sz w:val="24"/>
          <w:szCs w:val="24"/>
          <w:u w:val="none"/>
        </w:rPr>
        <w:t>福建省中凯招标代理有限公司</w:t>
      </w:r>
      <w:r>
        <w:rPr>
          <w:rFonts w:ascii="宋体" w:hAnsi="宋体" w:eastAsia="宋体"/>
          <w:sz w:val="24"/>
          <w:szCs w:val="24"/>
        </w:rPr>
        <w:t>编号为：</w:t>
      </w:r>
      <w:r>
        <w:rPr>
          <w:rFonts w:hint="eastAsia" w:ascii="宋体" w:hAnsi="宋体" w:eastAsia="宋体" w:cs="宋体"/>
          <w:spacing w:val="0"/>
          <w:sz w:val="24"/>
          <w:szCs w:val="24"/>
          <w:u w:val="none"/>
        </w:rPr>
        <w:t>[350400]ZK[GK]2019010-1</w:t>
      </w:r>
      <w:r>
        <w:rPr>
          <w:rFonts w:ascii="宋体" w:hAnsi="宋体" w:eastAsia="宋体"/>
          <w:sz w:val="24"/>
          <w:szCs w:val="24"/>
        </w:rPr>
        <w:t>项目要求</w:t>
      </w:r>
      <w:r>
        <w:rPr>
          <w:rFonts w:hint="eastAsia" w:ascii="宋体" w:hAnsi="宋体" w:eastAsia="宋体"/>
          <w:sz w:val="24"/>
          <w:szCs w:val="24"/>
        </w:rPr>
        <w:t>。</w:t>
      </w:r>
    </w:p>
    <w:p>
      <w:pPr>
        <w:pStyle w:val="13"/>
        <w:snapToGrid w:val="0"/>
        <w:spacing w:line="360" w:lineRule="auto"/>
        <w:contextualSpacing/>
      </w:pPr>
      <w:r>
        <w:rPr>
          <w:rFonts w:hint="eastAsia"/>
        </w:rPr>
        <w:t>二、供应商资格要求</w:t>
      </w:r>
    </w:p>
    <w:p>
      <w:pPr>
        <w:pStyle w:val="13"/>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3"/>
        <w:snapToGrid w:val="0"/>
        <w:spacing w:line="360" w:lineRule="auto"/>
        <w:ind w:firstLine="480" w:firstLineChars="200"/>
        <w:contextualSpacing/>
      </w:pPr>
      <w:r>
        <w:rPr>
          <w:rFonts w:hint="eastAsia"/>
        </w:rPr>
        <w:t>（二）供应商应有良好的信誉，其供应的产品及同类产品不在福建广电网络集团股份有限公司三明</w:t>
      </w:r>
      <w:r>
        <w:rPr>
          <w:rFonts w:hint="eastAsia"/>
          <w:lang w:eastAsia="zh-CN"/>
        </w:rPr>
        <w:t>城区</w:t>
      </w:r>
      <w:r>
        <w:rPr>
          <w:rFonts w:hint="eastAsia"/>
        </w:rPr>
        <w:t>分公司通报整改期限内；</w:t>
      </w:r>
    </w:p>
    <w:p>
      <w:pPr>
        <w:pStyle w:val="13"/>
        <w:snapToGrid w:val="0"/>
        <w:spacing w:line="360" w:lineRule="auto"/>
        <w:ind w:firstLine="480" w:firstLineChars="200"/>
        <w:contextualSpacing/>
      </w:pPr>
      <w:r>
        <w:rPr>
          <w:rFonts w:hint="eastAsia"/>
        </w:rPr>
        <w:t>（三）理解并遵守福建广电网络集团股份有限公司三明</w:t>
      </w:r>
      <w:r>
        <w:rPr>
          <w:rFonts w:hint="eastAsia"/>
          <w:lang w:eastAsia="zh-CN"/>
        </w:rPr>
        <w:t>城区</w:t>
      </w:r>
      <w:r>
        <w:rPr>
          <w:rFonts w:hint="eastAsia"/>
        </w:rPr>
        <w:t>分公司采购平台的规定及要求；</w:t>
      </w:r>
    </w:p>
    <w:p>
      <w:pPr>
        <w:pStyle w:val="13"/>
        <w:snapToGrid w:val="0"/>
        <w:spacing w:line="360" w:lineRule="auto"/>
        <w:ind w:firstLine="480" w:firstLineChars="200"/>
        <w:contextualSpacing/>
      </w:pPr>
      <w:r>
        <w:rPr>
          <w:rFonts w:hint="eastAsia"/>
        </w:rPr>
        <w:t>（四）所有参加投标的投标方代表均需随身携带本人身份证原件。如果投标方代表不是法定代表人，投标方代表还需提交《法定代表人授权书》</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、报名</w:t>
      </w:r>
    </w:p>
    <w:p>
      <w:pPr>
        <w:widowControl/>
        <w:shd w:val="clear" w:color="auto" w:fill="FFFFFF"/>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报名期限：详见询价公告或更正公告（若有），若不一致，以更正公告（若有）为准。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询价通知书的获取</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询价通知书售价：0元。</w:t>
      </w:r>
    </w:p>
    <w:p>
      <w:pPr>
        <w:widowControl/>
        <w:jc w:val="left"/>
        <w:rPr>
          <w:rFonts w:ascii="宋体" w:hAnsi="宋体" w:eastAsia="宋体" w:cs="宋体"/>
          <w:b/>
          <w:bCs/>
          <w:kern w:val="36"/>
          <w:sz w:val="48"/>
          <w:szCs w:val="48"/>
        </w:rPr>
      </w:pPr>
      <w:r>
        <w:br w:type="page"/>
      </w:r>
    </w:p>
    <w:p>
      <w:pPr>
        <w:pStyle w:val="2"/>
      </w:pPr>
      <w:bookmarkStart w:id="1" w:name="_Toc25747443"/>
      <w:r>
        <w:t>第二章询价须知</w:t>
      </w:r>
      <w:bookmarkEnd w:id="1"/>
    </w:p>
    <w:p>
      <w:pPr>
        <w:widowControl/>
        <w:shd w:val="clear" w:color="auto" w:fill="FFFFFF"/>
        <w:spacing w:line="360" w:lineRule="auto"/>
        <w:jc w:val="left"/>
        <w:rPr>
          <w:rFonts w:ascii="宋体" w:hAnsi="宋体" w:eastAsia="宋体" w:cs="宋体"/>
          <w:bCs/>
          <w:kern w:val="0"/>
          <w:sz w:val="24"/>
          <w:szCs w:val="24"/>
        </w:rPr>
      </w:pPr>
      <w:r>
        <w:rPr>
          <w:rFonts w:ascii="宋体" w:hAnsi="宋体" w:eastAsia="宋体" w:cs="宋体"/>
          <w:bCs/>
          <w:kern w:val="0"/>
          <w:sz w:val="24"/>
          <w:szCs w:val="24"/>
        </w:rPr>
        <w:t>询价须知前附表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特别提示：本表与询价通知书对应章节的内容若不一致，以本表为准。</w:t>
      </w:r>
    </w:p>
    <w:tbl>
      <w:tblPr>
        <w:tblStyle w:val="14"/>
        <w:tblW w:w="8313"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701"/>
        <w:gridCol w:w="76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序号</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1</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供应商的资格要求</w:t>
            </w:r>
            <w:r>
              <w:rPr>
                <w:rFonts w:ascii="宋体" w:hAnsi="宋体" w:eastAsia="宋体" w:cs="宋体"/>
                <w:kern w:val="0"/>
                <w:sz w:val="24"/>
                <w:szCs w:val="24"/>
              </w:rPr>
              <w:t>：</w:t>
            </w:r>
          </w:p>
          <w:p>
            <w:pPr>
              <w:pStyle w:val="13"/>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3"/>
              <w:snapToGrid w:val="0"/>
              <w:spacing w:line="360" w:lineRule="auto"/>
              <w:ind w:firstLine="480" w:firstLineChars="200"/>
              <w:contextualSpacing/>
            </w:pPr>
            <w:r>
              <w:rPr>
                <w:rFonts w:hint="eastAsia"/>
              </w:rPr>
              <w:t>（二）供应商应有良好的信誉，其供应的产品及同类产品不在福建广电网络集团股份有限公司三明</w:t>
            </w:r>
            <w:r>
              <w:rPr>
                <w:rFonts w:hint="eastAsia"/>
                <w:lang w:eastAsia="zh-CN"/>
              </w:rPr>
              <w:t>城区</w:t>
            </w:r>
            <w:r>
              <w:rPr>
                <w:rFonts w:hint="eastAsia"/>
              </w:rPr>
              <w:t>分公司通报整改期限内；</w:t>
            </w:r>
          </w:p>
          <w:p>
            <w:pPr>
              <w:pStyle w:val="13"/>
              <w:snapToGrid w:val="0"/>
              <w:spacing w:line="360" w:lineRule="auto"/>
              <w:ind w:firstLine="480" w:firstLineChars="200"/>
              <w:contextualSpacing/>
            </w:pPr>
            <w:r>
              <w:rPr>
                <w:rFonts w:hint="eastAsia"/>
              </w:rPr>
              <w:t>（三）理解并遵守福建广电网络集团股份有限公司三明</w:t>
            </w:r>
            <w:r>
              <w:rPr>
                <w:rFonts w:hint="eastAsia"/>
                <w:lang w:eastAsia="zh-CN"/>
              </w:rPr>
              <w:t>城区</w:t>
            </w:r>
            <w:r>
              <w:rPr>
                <w:rFonts w:hint="eastAsia"/>
              </w:rPr>
              <w:t>分公司采购平台的规定及要求；</w:t>
            </w:r>
          </w:p>
          <w:p>
            <w:pPr>
              <w:pStyle w:val="13"/>
              <w:snapToGrid w:val="0"/>
              <w:spacing w:line="360" w:lineRule="auto"/>
              <w:ind w:firstLine="480" w:firstLineChars="200"/>
              <w:contextualSpacing/>
            </w:pPr>
            <w:r>
              <w:rPr>
                <w:rFonts w:hint="eastAsia"/>
              </w:rPr>
              <w:t>（四）所有参加投标的投标方代表均需随身携带本人身份证原件。如果投标方代表不是法定代表人，投标方代表还需提交《法定代表人授权书》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2</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响应文件的份数：</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纸质响应文件：正本1份、副本</w:t>
            </w:r>
            <w:r>
              <w:rPr>
                <w:rFonts w:hint="eastAsia" w:ascii="宋体" w:hAnsi="宋体" w:eastAsia="宋体" w:cs="宋体"/>
                <w:kern w:val="0"/>
                <w:sz w:val="24"/>
                <w:szCs w:val="24"/>
                <w:lang w:val="en-US" w:eastAsia="zh-CN"/>
              </w:rPr>
              <w:t>3</w:t>
            </w:r>
            <w:r>
              <w:rPr>
                <w:rFonts w:ascii="宋体" w:hAnsi="宋体" w:eastAsia="宋体" w:cs="宋体"/>
                <w:kern w:val="0"/>
                <w:sz w:val="24"/>
                <w:szCs w:val="24"/>
              </w:rPr>
              <w:t>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响应有效期</w:t>
            </w:r>
            <w:r>
              <w:rPr>
                <w:rFonts w:ascii="宋体" w:hAnsi="宋体" w:eastAsia="宋体" w:cs="宋体"/>
                <w:kern w:val="0"/>
                <w:sz w:val="24"/>
                <w:szCs w:val="24"/>
              </w:rPr>
              <w:t>：提交响应文件截止时间起90个日历日。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询价保证金：</w:t>
            </w:r>
            <w:r>
              <w:rPr>
                <w:rFonts w:hint="eastAsia" w:ascii="宋体" w:hAnsi="宋体" w:eastAsia="宋体" w:cs="宋体"/>
                <w:bCs/>
                <w:kern w:val="0"/>
                <w:sz w:val="24"/>
                <w:szCs w:val="24"/>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密封及其标记的具体形式：</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一</w:t>
            </w:r>
            <w:r>
              <w:rPr>
                <w:rFonts w:ascii="宋体" w:hAnsi="宋体" w:eastAsia="宋体" w:cs="宋体"/>
                <w:kern w:val="0"/>
                <w:sz w:val="24"/>
                <w:szCs w:val="24"/>
              </w:rPr>
              <w:t>）全部响应文件包括正本、副本均应密封。</w:t>
            </w:r>
            <w:r>
              <w:rPr>
                <w:rFonts w:ascii="宋体" w:hAnsi="宋体" w:eastAsia="宋体" w:cs="宋体"/>
                <w:bCs/>
                <w:kern w:val="0"/>
                <w:sz w:val="24"/>
                <w:szCs w:val="24"/>
              </w:rPr>
              <w:t>未密封将导致响应文件被拒收。</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二</w:t>
            </w:r>
            <w:r>
              <w:rPr>
                <w:rFonts w:ascii="宋体" w:hAnsi="宋体" w:eastAsia="宋体" w:cs="宋体"/>
                <w:kern w:val="0"/>
                <w:sz w:val="24"/>
                <w:szCs w:val="24"/>
              </w:rPr>
              <w:t>）密封的外包装应至少标记“项目名称、项目编号、所报合同包、供应商全称”等内容，否则造成响应文件误投、遗漏或者提前拆封的，</w:t>
            </w:r>
            <w:r>
              <w:rPr>
                <w:rFonts w:hint="eastAsia" w:ascii="宋体" w:hAnsi="宋体" w:eastAsia="宋体" w:cs="宋体"/>
                <w:kern w:val="0"/>
                <w:sz w:val="24"/>
                <w:szCs w:val="24"/>
              </w:rPr>
              <w:t>我司</w:t>
            </w:r>
            <w:r>
              <w:rPr>
                <w:rFonts w:ascii="宋体" w:hAnsi="宋体" w:eastAsia="宋体" w:cs="宋体"/>
                <w:kern w:val="0"/>
                <w:sz w:val="24"/>
                <w:szCs w:val="24"/>
              </w:rPr>
              <w:t>不承担责任。</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三</w:t>
            </w:r>
            <w:r>
              <w:rPr>
                <w:rFonts w:ascii="宋体" w:hAnsi="宋体" w:eastAsia="宋体" w:cs="宋体"/>
                <w:kern w:val="0"/>
                <w:sz w:val="24"/>
                <w:szCs w:val="24"/>
              </w:rPr>
              <w:t>）其他：无。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是否允许成交人进行分包：</w:t>
            </w:r>
            <w:r>
              <w:rPr>
                <w:rFonts w:ascii="宋体" w:hAnsi="宋体" w:eastAsia="宋体" w:cs="宋体"/>
                <w:kern w:val="0"/>
                <w:sz w:val="24"/>
                <w:szCs w:val="24"/>
              </w:rPr>
              <w:t>不允许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本项目确定合同包1中标人数为1家</w:t>
            </w:r>
            <w:r>
              <w:rPr>
                <w:rFonts w:hint="eastAsia" w:ascii="宋体" w:hAnsi="宋体" w:eastAsia="宋体" w:cs="宋体"/>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本次标前询价结果不对外公示。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履约保证金</w:t>
            </w:r>
            <w:r>
              <w:rPr>
                <w:rFonts w:hint="eastAsia" w:ascii="宋体" w:hAnsi="宋体" w:eastAsia="宋体" w:cs="宋体"/>
                <w:bCs/>
                <w:kern w:val="0"/>
                <w:sz w:val="24"/>
                <w:szCs w:val="24"/>
              </w:rPr>
              <w:t>：</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不收取履约保证金</w:t>
            </w:r>
            <w:r>
              <w:rPr>
                <w:rFonts w:hint="eastAsia" w:ascii="宋体" w:hAnsi="宋体" w:eastAsia="宋体" w:cs="宋体"/>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合同付款方式</w:t>
            </w:r>
            <w:r>
              <w:rPr>
                <w:rFonts w:hint="eastAsia" w:ascii="宋体" w:hAnsi="宋体" w:eastAsia="宋体" w:cs="宋体"/>
                <w:bCs/>
                <w:kern w:val="0"/>
                <w:sz w:val="24"/>
                <w:szCs w:val="24"/>
              </w:rPr>
              <w:t>：</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bCs/>
                <w:color w:val="000000" w:themeColor="text1"/>
                <w:kern w:val="0"/>
                <w:sz w:val="24"/>
                <w:szCs w:val="24"/>
              </w:rPr>
              <w:t>合同签订后现金支付合同总额的50%，验收合格且在收到业主方相应款项后背靠背现金支付合同总额的45%，余款5%在验收合格之日起一年后，无质量服务问题背靠背现金一次性无息付清。。</w:t>
            </w:r>
          </w:p>
        </w:tc>
      </w:tr>
    </w:tbl>
    <w:p>
      <w:pPr>
        <w:pStyle w:val="2"/>
      </w:pPr>
      <w:bookmarkStart w:id="2" w:name="_Toc25747444"/>
      <w:r>
        <w:t>第</w:t>
      </w:r>
      <w:r>
        <w:rPr>
          <w:rFonts w:hint="eastAsia"/>
        </w:rPr>
        <w:t>三</w:t>
      </w:r>
      <w:r>
        <w:t>章询价内容及要求</w:t>
      </w:r>
      <w:bookmarkEnd w:id="2"/>
    </w:p>
    <w:p>
      <w:pPr>
        <w:pStyle w:val="3"/>
      </w:pPr>
      <w:bookmarkStart w:id="3" w:name="_Toc25747445"/>
      <w:r>
        <w:t>一、采购标的</w:t>
      </w:r>
      <w:r>
        <w:rPr>
          <w:rFonts w:hint="eastAsia"/>
        </w:rPr>
        <w:t>一览表</w:t>
      </w:r>
      <w:bookmarkEnd w:id="3"/>
    </w:p>
    <w:p>
      <w:pPr>
        <w:spacing w:line="360" w:lineRule="auto"/>
        <w:jc w:val="right"/>
        <w:rPr>
          <w:rFonts w:ascii="宋体" w:hAnsi="宋体" w:eastAsia="宋体" w:cs="宋体"/>
          <w:color w:val="000000" w:themeColor="text1"/>
          <w:sz w:val="24"/>
          <w:szCs w:val="24"/>
        </w:rPr>
      </w:pPr>
      <w:r>
        <w:rPr>
          <w:rFonts w:ascii="宋体" w:hAnsi="宋体" w:eastAsia="宋体" w:cs="宋体"/>
          <w:color w:val="000000" w:themeColor="text1"/>
          <w:sz w:val="24"/>
          <w:szCs w:val="24"/>
        </w:rPr>
        <w:t>金额单位：人民币元</w:t>
      </w:r>
    </w:p>
    <w:tbl>
      <w:tblPr>
        <w:tblStyle w:val="14"/>
        <w:tblpPr w:leftFromText="180" w:rightFromText="180" w:vertAnchor="text" w:horzAnchor="page" w:tblpXSpec="center" w:tblpY="203"/>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007"/>
        <w:gridCol w:w="165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8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sz w:val="24"/>
                <w:szCs w:val="24"/>
              </w:rPr>
            </w:pPr>
            <w:r>
              <w:rPr>
                <w:rFonts w:hint="eastAsia" w:ascii="宋体" w:hAnsi="宋体" w:eastAsia="宋体"/>
                <w:sz w:val="24"/>
                <w:szCs w:val="24"/>
              </w:rPr>
              <w:t>合同包</w:t>
            </w:r>
          </w:p>
        </w:tc>
        <w:tc>
          <w:tcPr>
            <w:tcW w:w="3007" w:type="dxa"/>
            <w:tcBorders>
              <w:top w:val="single" w:color="auto" w:sz="4" w:space="0"/>
              <w:left w:val="single" w:color="auto" w:sz="4" w:space="0"/>
              <w:bottom w:val="single" w:color="auto" w:sz="4" w:space="0"/>
              <w:right w:val="single" w:color="auto" w:sz="4" w:space="0"/>
            </w:tcBorders>
            <w:vAlign w:val="center"/>
          </w:tcPr>
          <w:p>
            <w:pPr>
              <w:spacing w:line="360" w:lineRule="exact"/>
              <w:ind w:firstLine="960" w:firstLineChars="400"/>
              <w:rPr>
                <w:rFonts w:ascii="宋体" w:hAnsi="宋体" w:eastAsia="宋体"/>
                <w:sz w:val="24"/>
                <w:szCs w:val="24"/>
              </w:rPr>
            </w:pPr>
            <w:r>
              <w:rPr>
                <w:rFonts w:hint="eastAsia" w:ascii="宋体" w:hAnsi="宋体" w:eastAsia="宋体"/>
                <w:sz w:val="24"/>
                <w:szCs w:val="24"/>
              </w:rPr>
              <w:t>项目名称</w:t>
            </w:r>
          </w:p>
        </w:tc>
        <w:tc>
          <w:tcPr>
            <w:tcW w:w="1650"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80" w:firstLineChars="200"/>
              <w:rPr>
                <w:rFonts w:ascii="宋体" w:hAnsi="宋体" w:eastAsia="宋体"/>
                <w:sz w:val="24"/>
                <w:szCs w:val="24"/>
              </w:rPr>
            </w:pPr>
            <w:r>
              <w:rPr>
                <w:rFonts w:hint="eastAsia" w:ascii="宋体" w:hAnsi="宋体" w:eastAsia="宋体"/>
                <w:sz w:val="24"/>
                <w:szCs w:val="24"/>
              </w:rPr>
              <w:t>数量</w:t>
            </w:r>
          </w:p>
        </w:tc>
        <w:tc>
          <w:tcPr>
            <w:tcW w:w="2880" w:type="dxa"/>
            <w:tcBorders>
              <w:top w:val="single" w:color="auto" w:sz="4" w:space="0"/>
              <w:left w:val="single" w:color="auto" w:sz="4" w:space="0"/>
              <w:bottom w:val="single" w:color="auto" w:sz="4" w:space="0"/>
              <w:right w:val="single" w:color="auto" w:sz="4" w:space="0"/>
            </w:tcBorders>
            <w:vAlign w:val="center"/>
          </w:tcPr>
          <w:p>
            <w:pPr>
              <w:spacing w:line="360" w:lineRule="exact"/>
              <w:ind w:firstLine="720" w:firstLineChars="300"/>
              <w:rPr>
                <w:rFonts w:ascii="宋体" w:hAnsi="宋体" w:eastAsia="宋体"/>
                <w:sz w:val="24"/>
                <w:szCs w:val="24"/>
              </w:rPr>
            </w:pPr>
            <w:r>
              <w:rPr>
                <w:rFonts w:hint="eastAsia" w:ascii="宋体" w:hAnsi="宋体" w:eastAsia="宋体"/>
                <w:sz w:val="24"/>
                <w:szCs w:val="24"/>
              </w:rPr>
              <w:t>预算价（元）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98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240" w:firstLineChars="100"/>
              <w:rPr>
                <w:rFonts w:ascii="宋体" w:hAnsi="宋体" w:eastAsia="宋体"/>
                <w:sz w:val="24"/>
                <w:szCs w:val="24"/>
              </w:rPr>
            </w:pPr>
            <w:r>
              <w:rPr>
                <w:rFonts w:hint="eastAsia" w:ascii="宋体" w:hAnsi="宋体" w:eastAsia="宋体"/>
                <w:sz w:val="24"/>
                <w:szCs w:val="24"/>
              </w:rPr>
              <w:t>一</w:t>
            </w:r>
          </w:p>
        </w:tc>
        <w:tc>
          <w:tcPr>
            <w:tcW w:w="3007"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80" w:firstLineChars="200"/>
              <w:jc w:val="left"/>
              <w:rPr>
                <w:rFonts w:ascii="宋体" w:hAnsi="宋体" w:eastAsia="宋体"/>
                <w:sz w:val="24"/>
                <w:szCs w:val="24"/>
              </w:rPr>
            </w:pPr>
            <w:r>
              <w:rPr>
                <w:rFonts w:hint="eastAsia" w:ascii="宋体" w:hAnsi="宋体" w:eastAsia="宋体" w:cs="宋体"/>
                <w:spacing w:val="0"/>
                <w:sz w:val="24"/>
                <w:szCs w:val="24"/>
                <w:u w:val="none"/>
              </w:rPr>
              <w:t>三明市高级技工学校鉴定考试机房设备采购货物类采购项目</w:t>
            </w:r>
          </w:p>
        </w:tc>
        <w:tc>
          <w:tcPr>
            <w:tcW w:w="1650"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80" w:firstLineChars="200"/>
              <w:rPr>
                <w:rFonts w:ascii="宋体" w:hAnsi="宋体" w:eastAsia="宋体"/>
                <w:sz w:val="24"/>
                <w:szCs w:val="24"/>
              </w:rPr>
            </w:pPr>
            <w:r>
              <w:rPr>
                <w:rFonts w:hint="eastAsia" w:ascii="宋体" w:hAnsi="宋体" w:eastAsia="宋体"/>
                <w:sz w:val="24"/>
                <w:szCs w:val="24"/>
              </w:rPr>
              <w:t>1批</w:t>
            </w:r>
          </w:p>
        </w:tc>
        <w:tc>
          <w:tcPr>
            <w:tcW w:w="2880" w:type="dxa"/>
            <w:tcBorders>
              <w:top w:val="single" w:color="auto" w:sz="4" w:space="0"/>
              <w:left w:val="single" w:color="auto" w:sz="4" w:space="0"/>
              <w:bottom w:val="single" w:color="auto" w:sz="4" w:space="0"/>
              <w:right w:val="single" w:color="auto" w:sz="4" w:space="0"/>
            </w:tcBorders>
            <w:vAlign w:val="center"/>
          </w:tcPr>
          <w:p>
            <w:pPr>
              <w:spacing w:line="360" w:lineRule="exact"/>
              <w:ind w:firstLine="960" w:firstLineChars="400"/>
              <w:rPr>
                <w:rFonts w:hint="default" w:ascii="宋体" w:hAnsi="宋体" w:eastAsia="宋体"/>
                <w:sz w:val="24"/>
                <w:szCs w:val="24"/>
                <w:lang w:val="en-US" w:eastAsia="zh-CN"/>
              </w:rPr>
            </w:pPr>
            <w:r>
              <w:rPr>
                <w:rFonts w:hint="eastAsia" w:ascii="宋体" w:hAnsi="宋体" w:eastAsia="宋体"/>
                <w:sz w:val="24"/>
                <w:szCs w:val="24"/>
                <w:lang w:val="en-US" w:eastAsia="zh-CN"/>
              </w:rPr>
              <w:t>1100000</w:t>
            </w:r>
          </w:p>
        </w:tc>
      </w:tr>
    </w:tbl>
    <w:p>
      <w:pPr>
        <w:pStyle w:val="3"/>
      </w:pPr>
      <w:bookmarkStart w:id="4" w:name="_Toc25747446"/>
      <w:r>
        <w:t>二、技术要求（以下内容不允许负偏离）</w:t>
      </w:r>
      <w:bookmarkEnd w:id="4"/>
    </w:p>
    <w:p>
      <w:pPr>
        <w:widowControl/>
        <w:spacing w:before="75" w:after="75" w:line="240" w:lineRule="atLeast"/>
        <w:jc w:val="left"/>
        <w:rPr>
          <w:rFonts w:ascii="宋体" w:hAnsi="宋体" w:eastAsia="宋体" w:cs="宋体"/>
          <w:kern w:val="0"/>
          <w:sz w:val="24"/>
          <w:szCs w:val="24"/>
        </w:rPr>
      </w:pPr>
      <w:r>
        <w:rPr>
          <w:rFonts w:ascii="宋体" w:hAnsi="宋体" w:eastAsia="宋体" w:cs="宋体"/>
          <w:kern w:val="0"/>
          <w:sz w:val="24"/>
          <w:szCs w:val="24"/>
        </w:rPr>
        <w:t>二、技术和服务要求</w:t>
      </w:r>
      <w:r>
        <w:rPr>
          <w:rFonts w:ascii="宋体" w:hAnsi="宋体" w:eastAsia="宋体" w:cs="宋体"/>
          <w:b/>
          <w:bCs/>
          <w:kern w:val="0"/>
          <w:sz w:val="24"/>
          <w:szCs w:val="24"/>
        </w:rPr>
        <w:t>（以“</w:t>
      </w:r>
      <w:r>
        <w:rPr>
          <w:rFonts w:ascii="宋体" w:hAnsi="宋体" w:eastAsia="宋体" w:cs="Segoe UI Symbol"/>
          <w:b/>
          <w:bCs/>
          <w:kern w:val="0"/>
          <w:sz w:val="24"/>
          <w:szCs w:val="24"/>
        </w:rPr>
        <w:t>★</w:t>
      </w:r>
      <w:r>
        <w:rPr>
          <w:rFonts w:ascii="宋体" w:hAnsi="宋体" w:eastAsia="宋体" w:cs="Times New Roman"/>
          <w:b/>
          <w:bCs/>
          <w:kern w:val="0"/>
          <w:sz w:val="24"/>
          <w:szCs w:val="24"/>
        </w:rPr>
        <w:t>”</w:t>
      </w:r>
      <w:r>
        <w:rPr>
          <w:rFonts w:ascii="宋体" w:hAnsi="宋体" w:eastAsia="宋体" w:cs="宋体"/>
          <w:b/>
          <w:bCs/>
          <w:kern w:val="0"/>
          <w:sz w:val="24"/>
          <w:szCs w:val="24"/>
        </w:rPr>
        <w:t>标示的内容为不允许负偏离的实质性要求）</w:t>
      </w:r>
    </w:p>
    <w:tbl>
      <w:tblPr>
        <w:tblStyle w:val="14"/>
        <w:tblW w:w="9180" w:type="dxa"/>
        <w:tblInd w:w="-18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675"/>
        <w:gridCol w:w="990"/>
        <w:gridCol w:w="6660"/>
        <w:gridCol w:w="8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345" w:lineRule="atLeast"/>
              <w:jc w:val="center"/>
            </w:pPr>
            <w:r>
              <w:rPr>
                <w:rFonts w:hint="eastAsia" w:ascii="宋体" w:hAnsi="宋体" w:eastAsia="宋体" w:cs="宋体"/>
                <w:color w:val="337AB7"/>
                <w:sz w:val="19"/>
                <w:szCs w:val="19"/>
                <w:u w:val="none"/>
              </w:rPr>
              <w:t>序号</w:t>
            </w:r>
          </w:p>
        </w:tc>
        <w:tc>
          <w:tcPr>
            <w:tcW w:w="990"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345" w:lineRule="atLeast"/>
              <w:jc w:val="center"/>
            </w:pPr>
            <w:r>
              <w:rPr>
                <w:rFonts w:hint="eastAsia" w:ascii="宋体" w:hAnsi="宋体" w:eastAsia="宋体" w:cs="宋体"/>
                <w:color w:val="393939"/>
                <w:sz w:val="19"/>
                <w:szCs w:val="19"/>
              </w:rPr>
              <w:t>产品名 称</w:t>
            </w:r>
          </w:p>
        </w:tc>
        <w:tc>
          <w:tcPr>
            <w:tcW w:w="6660"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345" w:lineRule="atLeast"/>
              <w:jc w:val="center"/>
            </w:pPr>
            <w:r>
              <w:rPr>
                <w:rFonts w:hint="eastAsia" w:ascii="宋体" w:hAnsi="宋体" w:eastAsia="宋体" w:cs="宋体"/>
                <w:color w:val="393939"/>
                <w:sz w:val="19"/>
                <w:szCs w:val="19"/>
              </w:rPr>
              <w:t>技术参数</w:t>
            </w:r>
          </w:p>
        </w:tc>
        <w:tc>
          <w:tcPr>
            <w:tcW w:w="855"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345" w:lineRule="atLeast"/>
            </w:pPr>
            <w:r>
              <w:rPr>
                <w:rFonts w:hint="eastAsia" w:ascii="宋体" w:hAnsi="宋体" w:eastAsia="宋体" w:cs="宋体"/>
                <w:color w:val="393939"/>
                <w:sz w:val="19"/>
                <w:szCs w:val="19"/>
              </w:rPr>
              <w:t>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345" w:lineRule="atLeast"/>
              <w:jc w:val="center"/>
            </w:pPr>
            <w:r>
              <w:rPr>
                <w:rFonts w:hint="eastAsia" w:ascii="宋体" w:hAnsi="宋体" w:eastAsia="宋体" w:cs="宋体"/>
                <w:color w:val="393939"/>
                <w:sz w:val="19"/>
                <w:szCs w:val="19"/>
              </w:rPr>
              <w:t>1</w:t>
            </w:r>
          </w:p>
        </w:tc>
        <w:tc>
          <w:tcPr>
            <w:tcW w:w="990"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345" w:lineRule="atLeast"/>
              <w:jc w:val="center"/>
            </w:pPr>
            <w:r>
              <w:rPr>
                <w:rFonts w:hint="eastAsia" w:ascii="宋体" w:hAnsi="宋体" w:eastAsia="宋体" w:cs="宋体"/>
                <w:color w:val="393939"/>
                <w:sz w:val="19"/>
                <w:szCs w:val="19"/>
              </w:rPr>
              <w:t>桌面云一体机</w:t>
            </w:r>
          </w:p>
        </w:tc>
        <w:tc>
          <w:tcPr>
            <w:tcW w:w="6660"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23" w:lineRule="atLeast"/>
            </w:pPr>
            <w:r>
              <w:rPr>
                <w:rFonts w:hint="eastAsia" w:ascii="宋体" w:hAnsi="宋体" w:eastAsia="宋体" w:cs="宋体"/>
                <w:color w:val="393939"/>
                <w:sz w:val="19"/>
                <w:szCs w:val="19"/>
              </w:rPr>
              <w:t>1.必须预装各类所需软件(含服务器虚拟化、存储虚拟化等)，不允许只提供祼机设备；</w:t>
            </w:r>
          </w:p>
          <w:p>
            <w:pPr>
              <w:pStyle w:val="13"/>
              <w:keepNext w:val="0"/>
              <w:keepLines w:val="0"/>
              <w:widowControl/>
              <w:suppressLineNumbers w:val="0"/>
              <w:spacing w:line="23" w:lineRule="atLeast"/>
            </w:pPr>
            <w:r>
              <w:rPr>
                <w:rFonts w:hint="eastAsia" w:ascii="宋体" w:hAnsi="宋体" w:eastAsia="宋体" w:cs="宋体"/>
                <w:color w:val="393939"/>
                <w:sz w:val="19"/>
                <w:szCs w:val="19"/>
              </w:rPr>
              <w:t>2. 标准2U尺寸；CPU ≥2*silver4114 CPU核数≥10C 主频≥2.2GHz，≥160GB内存，盘位≥8*3.5 SATA/SAS盘位，≥64GB SSD系统盘，≥2*240G缓存盘，≥6*1TSATA　数据盘，接口配置≥6个GE接口，≥4个USB接口，不少于1个VGA口；</w:t>
            </w:r>
          </w:p>
          <w:p>
            <w:pPr>
              <w:pStyle w:val="13"/>
              <w:keepNext w:val="0"/>
              <w:keepLines w:val="0"/>
              <w:widowControl/>
              <w:suppressLineNumbers w:val="0"/>
              <w:spacing w:line="23" w:lineRule="atLeast"/>
            </w:pPr>
            <w:r>
              <w:rPr>
                <w:rFonts w:hint="eastAsia" w:ascii="宋体" w:hAnsi="宋体" w:eastAsia="宋体" w:cs="宋体"/>
                <w:color w:val="393939"/>
                <w:sz w:val="19"/>
                <w:szCs w:val="19"/>
              </w:rPr>
              <w:t>3.支持为桌面云服务器提供多种负载均衡机制，本项目应包含会话数、CPU、内存、I/O、综合性能等5种策略算法，以满足不同类型服务器的资源调度需求（投标文件中须提供相关配置截图证明）；</w:t>
            </w:r>
          </w:p>
          <w:p>
            <w:pPr>
              <w:pStyle w:val="13"/>
              <w:keepNext w:val="0"/>
              <w:keepLines w:val="0"/>
              <w:widowControl/>
              <w:suppressLineNumbers w:val="0"/>
              <w:spacing w:line="23" w:lineRule="atLeast"/>
            </w:pPr>
            <w:r>
              <w:rPr>
                <w:rFonts w:hint="eastAsia" w:ascii="宋体" w:hAnsi="宋体" w:eastAsia="宋体" w:cs="宋体"/>
                <w:color w:val="393939"/>
                <w:sz w:val="19"/>
                <w:szCs w:val="19"/>
              </w:rPr>
              <w:t>4.支持为运行中的云桌面虚拟机进行分组管理和批量设置IP，提升IT人员桌面维护效率；</w:t>
            </w:r>
          </w:p>
          <w:p>
            <w:pPr>
              <w:pStyle w:val="13"/>
              <w:keepNext w:val="0"/>
              <w:keepLines w:val="0"/>
              <w:widowControl/>
              <w:suppressLineNumbers w:val="0"/>
              <w:spacing w:line="23" w:lineRule="atLeast"/>
            </w:pPr>
            <w:r>
              <w:rPr>
                <w:rFonts w:hint="eastAsia" w:ascii="宋体" w:hAnsi="宋体" w:eastAsia="宋体" w:cs="宋体"/>
                <w:color w:val="393939"/>
                <w:sz w:val="19"/>
                <w:szCs w:val="19"/>
              </w:rPr>
              <w:t>5.支持云盘存储方案，包括个人云盘和公共云盘，可设置配额和读写权限，其中个人云盘绑定用户，只允许特定用户访问，公共云盘允许所有人访问，且支持个人盘加密技术以保障个人数据安全；（投标文件中须提供截图证明）</w:t>
            </w:r>
          </w:p>
          <w:p>
            <w:pPr>
              <w:pStyle w:val="13"/>
              <w:keepNext w:val="0"/>
              <w:keepLines w:val="0"/>
              <w:widowControl/>
              <w:suppressLineNumbers w:val="0"/>
              <w:spacing w:line="23" w:lineRule="atLeast"/>
            </w:pPr>
            <w:r>
              <w:rPr>
                <w:rFonts w:hint="eastAsia" w:ascii="宋体" w:hAnsi="宋体" w:eastAsia="宋体" w:cs="宋体"/>
                <w:color w:val="393939"/>
                <w:sz w:val="19"/>
                <w:szCs w:val="19"/>
              </w:rPr>
              <w:t>6.支持分布式部署、集中管理模式，桌面云服务器部署在各个分支本地数据中心，总部通过一套集中管理平台实现对分支桌面云的统一管理，包括统一授权、统一升级、统一监控等，本项目要求免费提供集中管理平台所需软件；</w:t>
            </w:r>
          </w:p>
          <w:p>
            <w:pPr>
              <w:pStyle w:val="13"/>
              <w:keepNext w:val="0"/>
              <w:keepLines w:val="0"/>
              <w:widowControl/>
              <w:suppressLineNumbers w:val="0"/>
              <w:spacing w:line="23" w:lineRule="atLeast"/>
            </w:pPr>
            <w:r>
              <w:rPr>
                <w:rFonts w:hint="eastAsia" w:ascii="宋体" w:hAnsi="宋体" w:eastAsia="宋体" w:cs="宋体"/>
                <w:color w:val="393939"/>
                <w:sz w:val="19"/>
                <w:szCs w:val="19"/>
              </w:rPr>
              <w:t>7.支持数据冗余副本技术，每份数据同时写入多台服务器，每次数据变化时自动实时同步，确保磁盘或服务器故障，数据不丢失；</w:t>
            </w:r>
          </w:p>
          <w:p>
            <w:pPr>
              <w:pStyle w:val="13"/>
              <w:keepNext w:val="0"/>
              <w:keepLines w:val="0"/>
              <w:widowControl/>
              <w:suppressLineNumbers w:val="0"/>
              <w:spacing w:line="23" w:lineRule="atLeast"/>
            </w:pPr>
            <w:r>
              <w:rPr>
                <w:rFonts w:hint="eastAsia" w:ascii="宋体" w:hAnsi="宋体" w:eastAsia="宋体" w:cs="宋体"/>
                <w:color w:val="393939"/>
                <w:sz w:val="19"/>
                <w:szCs w:val="19"/>
              </w:rPr>
              <w:t>8.当磁盘或服务器故障后，桌面业务不中断，IT人员只需要更换新设备，整个数据重建/恢复过程，无需关停机；</w:t>
            </w:r>
          </w:p>
          <w:p>
            <w:pPr>
              <w:pStyle w:val="13"/>
              <w:keepNext w:val="0"/>
              <w:keepLines w:val="0"/>
              <w:widowControl/>
              <w:suppressLineNumbers w:val="0"/>
              <w:spacing w:line="23" w:lineRule="atLeast"/>
            </w:pPr>
            <w:r>
              <w:rPr>
                <w:rFonts w:hint="eastAsia" w:ascii="宋体" w:hAnsi="宋体" w:eastAsia="宋体" w:cs="宋体"/>
                <w:color w:val="393939"/>
                <w:sz w:val="19"/>
                <w:szCs w:val="19"/>
              </w:rPr>
              <w:t>9.支持设置首次登录强制修改密码、定时修改密码、图形校验码和软键盘等密码安全策略，以保障认证密码安全性，避免越权访问行为（投标文件中须提供相关配置截图证明）；</w:t>
            </w:r>
          </w:p>
          <w:p>
            <w:pPr>
              <w:pStyle w:val="13"/>
              <w:keepNext w:val="0"/>
              <w:keepLines w:val="0"/>
              <w:widowControl/>
              <w:suppressLineNumbers w:val="0"/>
              <w:spacing w:line="23" w:lineRule="atLeast"/>
            </w:pPr>
            <w:r>
              <w:rPr>
                <w:rFonts w:hint="eastAsia" w:ascii="宋体" w:hAnsi="宋体" w:eastAsia="宋体" w:cs="宋体"/>
                <w:color w:val="393939"/>
                <w:sz w:val="19"/>
                <w:szCs w:val="19"/>
              </w:rPr>
              <w:t>10、支持软件分发，通过创建软件库并关联给虚拟机，实现应用软件、驱动程序的增量式更新，不需要在每个虚拟机执行安装过程，整个分发过程秒级完成，且分发后不会覆盖原虚拟机的个性化配置和自主安装的软件，本项目要求支持应用软件、USB打印机和网络打印机驱动、网页快捷方式和页面控件、办公文件的分发（投标文件中须提供功能截图）。</w:t>
            </w:r>
          </w:p>
          <w:p>
            <w:pPr>
              <w:pStyle w:val="13"/>
              <w:keepNext w:val="0"/>
              <w:keepLines w:val="0"/>
              <w:widowControl/>
              <w:suppressLineNumbers w:val="0"/>
              <w:spacing w:line="23" w:lineRule="atLeast"/>
            </w:pPr>
            <w:r>
              <w:rPr>
                <w:rFonts w:hint="eastAsia" w:ascii="宋体" w:hAnsi="宋体" w:eastAsia="宋体" w:cs="宋体"/>
                <w:color w:val="393939"/>
                <w:sz w:val="19"/>
                <w:szCs w:val="19"/>
              </w:rPr>
              <w:t>11、桌面云控制器内置防火墙，包括设置过滤规则、NAT设置、访问监控、防DOS攻击、QOS上传下载规则等（投标文件中须需提供功能截图）</w:t>
            </w:r>
          </w:p>
          <w:p>
            <w:pPr>
              <w:pStyle w:val="13"/>
              <w:keepNext w:val="0"/>
              <w:keepLines w:val="0"/>
              <w:widowControl/>
              <w:suppressLineNumbers w:val="0"/>
              <w:spacing w:line="23" w:lineRule="atLeast"/>
            </w:pPr>
            <w:r>
              <w:rPr>
                <w:rFonts w:hint="eastAsia" w:ascii="宋体" w:hAnsi="宋体" w:eastAsia="宋体" w:cs="宋体"/>
                <w:color w:val="393939"/>
                <w:sz w:val="19"/>
                <w:szCs w:val="19"/>
              </w:rPr>
              <w:t>12、支持USB黑白名单技术，能够精准识别每一款不同类型的外设（包括高拍仪、摄像头、USB光驱、认证key等），并设置放通或者限制策略，提高管控粒度和安全性。（投标文件中须提供功能截图）</w:t>
            </w:r>
          </w:p>
          <w:p>
            <w:pPr>
              <w:pStyle w:val="13"/>
              <w:keepNext w:val="0"/>
              <w:keepLines w:val="0"/>
              <w:widowControl/>
              <w:suppressLineNumbers w:val="0"/>
              <w:spacing w:line="23" w:lineRule="atLeast"/>
            </w:pPr>
            <w:r>
              <w:rPr>
                <w:rFonts w:hint="eastAsia" w:ascii="宋体" w:hAnsi="宋体" w:eastAsia="宋体" w:cs="宋体"/>
                <w:color w:val="393939"/>
                <w:sz w:val="19"/>
                <w:szCs w:val="19"/>
              </w:rPr>
              <w:t>13、支持满屏水印，水印内容颜色和边框颜色反色调设置，防止背景颜色与水印颜色一致，覆盖水印，支持水印内容、透明度、水印字体大小、倾斜度调整。（提供水印功能截图证明）</w:t>
            </w:r>
          </w:p>
          <w:p>
            <w:pPr>
              <w:pStyle w:val="13"/>
              <w:keepNext w:val="0"/>
              <w:keepLines w:val="0"/>
              <w:widowControl/>
              <w:suppressLineNumbers w:val="0"/>
              <w:spacing w:line="23" w:lineRule="atLeast"/>
            </w:pPr>
            <w:r>
              <w:rPr>
                <w:rFonts w:hint="eastAsia" w:ascii="宋体" w:hAnsi="宋体" w:eastAsia="宋体" w:cs="宋体"/>
                <w:color w:val="393939"/>
                <w:sz w:val="19"/>
                <w:szCs w:val="19"/>
              </w:rPr>
              <w:t>14、支持文件导出内容审计，开启文件安全导出后，虚拟机通过剪切板、PC设备和USB设备外发文件的操作将被禁止，用户可以使用虚拟机内部的文件导出工具实现文件外发，所有外发的文件内容都可以加密备份到数据中心，以备后续审计使用，可疑的导出行为会产生告警。（投标文件中须提供文件导出审计功能截图）</w:t>
            </w:r>
          </w:p>
          <w:p>
            <w:pPr>
              <w:pStyle w:val="13"/>
              <w:keepNext w:val="0"/>
              <w:keepLines w:val="0"/>
              <w:widowControl/>
              <w:suppressLineNumbers w:val="0"/>
              <w:spacing w:line="23" w:lineRule="atLeast"/>
            </w:pPr>
            <w:r>
              <w:rPr>
                <w:rFonts w:hint="eastAsia" w:ascii="宋体" w:hAnsi="宋体" w:eastAsia="宋体" w:cs="宋体"/>
                <w:color w:val="393939"/>
                <w:sz w:val="19"/>
                <w:szCs w:val="19"/>
              </w:rPr>
              <w:t>15、支持设置主题，管理员可以在主题商城中下载主题，并将主题应用到包括瘦终端（ARM、X86）、PC客户端。</w:t>
            </w:r>
          </w:p>
        </w:tc>
        <w:tc>
          <w:tcPr>
            <w:tcW w:w="855"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345" w:lineRule="atLeast"/>
            </w:pPr>
            <w:r>
              <w:rPr>
                <w:rFonts w:hint="eastAsia" w:ascii="宋体" w:hAnsi="宋体" w:eastAsia="宋体" w:cs="宋体"/>
                <w:color w:val="393939"/>
                <w:sz w:val="19"/>
                <w:szCs w:val="19"/>
              </w:rPr>
              <w:t>6台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345" w:lineRule="atLeast"/>
              <w:jc w:val="center"/>
            </w:pPr>
            <w:r>
              <w:rPr>
                <w:rFonts w:hint="eastAsia" w:ascii="宋体" w:hAnsi="宋体" w:eastAsia="宋体" w:cs="宋体"/>
                <w:color w:val="393939"/>
                <w:sz w:val="19"/>
                <w:szCs w:val="19"/>
              </w:rPr>
              <w:t>２</w:t>
            </w:r>
          </w:p>
        </w:tc>
        <w:tc>
          <w:tcPr>
            <w:tcW w:w="990"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345" w:lineRule="atLeast"/>
              <w:jc w:val="center"/>
            </w:pPr>
            <w:r>
              <w:rPr>
                <w:rFonts w:hint="eastAsia" w:ascii="宋体" w:hAnsi="宋体" w:eastAsia="宋体" w:cs="宋体"/>
                <w:color w:val="393939"/>
                <w:sz w:val="19"/>
                <w:szCs w:val="19"/>
              </w:rPr>
              <w:t>虚拟存储软件</w:t>
            </w:r>
          </w:p>
        </w:tc>
        <w:tc>
          <w:tcPr>
            <w:tcW w:w="6660"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23" w:lineRule="atLeast"/>
            </w:pPr>
            <w:r>
              <w:rPr>
                <w:rFonts w:hint="eastAsia" w:ascii="宋体" w:hAnsi="宋体" w:eastAsia="宋体" w:cs="宋体"/>
                <w:color w:val="393939"/>
                <w:sz w:val="19"/>
                <w:szCs w:val="19"/>
              </w:rPr>
              <w:t>1.支持内存页合并技术，能够有效消除多个虚拟机运行过程中重复只读内存数据，以节省内存使用，提升服务器部署密度。</w:t>
            </w:r>
          </w:p>
          <w:p>
            <w:pPr>
              <w:pStyle w:val="13"/>
              <w:keepNext w:val="0"/>
              <w:keepLines w:val="0"/>
              <w:widowControl/>
              <w:suppressLineNumbers w:val="0"/>
              <w:spacing w:line="23" w:lineRule="atLeast"/>
            </w:pPr>
            <w:r>
              <w:rPr>
                <w:rFonts w:hint="eastAsia" w:ascii="宋体" w:hAnsi="宋体" w:eastAsia="宋体" w:cs="宋体"/>
                <w:color w:val="393939"/>
                <w:sz w:val="19"/>
                <w:szCs w:val="19"/>
              </w:rPr>
              <w:t>2.要求一体机必须配备存储虚拟化软件模块，通过它代替硬件存储设备，从而以低成本的存储方案实现数据可靠性和故障恢复；</w:t>
            </w:r>
          </w:p>
          <w:p>
            <w:pPr>
              <w:pStyle w:val="13"/>
              <w:keepNext w:val="0"/>
              <w:keepLines w:val="0"/>
              <w:widowControl/>
              <w:suppressLineNumbers w:val="0"/>
              <w:spacing w:line="23" w:lineRule="atLeast"/>
            </w:pPr>
            <w:r>
              <w:rPr>
                <w:rFonts w:hint="eastAsia" w:ascii="宋体" w:hAnsi="宋体" w:eastAsia="宋体" w:cs="宋体"/>
                <w:color w:val="393939"/>
                <w:sz w:val="19"/>
                <w:szCs w:val="19"/>
              </w:rPr>
              <w:t>3.支持多种身份认证方式随需组合，至少应包括账号密码、usb-key认证、短信认证、硬件特征绑定、动态口令等5种方式（投标文件中须提供相关配置截图证明）；</w:t>
            </w:r>
          </w:p>
          <w:p>
            <w:pPr>
              <w:pStyle w:val="13"/>
              <w:keepNext w:val="0"/>
              <w:keepLines w:val="0"/>
              <w:widowControl/>
              <w:suppressLineNumbers w:val="0"/>
              <w:spacing w:line="23" w:lineRule="atLeast"/>
            </w:pPr>
            <w:r>
              <w:rPr>
                <w:rFonts w:hint="eastAsia" w:ascii="宋体" w:hAnsi="宋体" w:eastAsia="宋体" w:cs="宋体"/>
                <w:color w:val="393939"/>
                <w:sz w:val="19"/>
                <w:szCs w:val="19"/>
              </w:rPr>
              <w:t>4.支持客户端安全检测，可根据用户接入的终端类型、操作系统版本、接入IP和时间、软件安装情况等既定访问策略，如客户端不满足安全检测要求则不允许接入，有效保障接入安全性（投标文件中须提供相关配置截图证明）；</w:t>
            </w:r>
          </w:p>
          <w:p>
            <w:pPr>
              <w:pStyle w:val="13"/>
              <w:keepNext w:val="0"/>
              <w:keepLines w:val="0"/>
              <w:widowControl/>
              <w:suppressLineNumbers w:val="0"/>
              <w:spacing w:line="23" w:lineRule="atLeast"/>
            </w:pPr>
            <w:r>
              <w:rPr>
                <w:rFonts w:hint="eastAsia" w:ascii="宋体" w:hAnsi="宋体" w:eastAsia="宋体" w:cs="宋体"/>
                <w:color w:val="393939"/>
                <w:sz w:val="19"/>
                <w:szCs w:val="19"/>
              </w:rPr>
              <w:t>5.支持SSD+机械混合磁盘模式，SSD用于缓存云桌面热点数据，HDD用于存储个人数据，为了保证使用效果，要求SSD缓存命中率不低于60%，以提升云桌面IO性能，让用户获得最优用户体验；（投标文件中须提供相关配置截图证明）</w:t>
            </w:r>
          </w:p>
          <w:p>
            <w:pPr>
              <w:pStyle w:val="13"/>
              <w:keepNext w:val="0"/>
              <w:keepLines w:val="0"/>
              <w:widowControl/>
              <w:suppressLineNumbers w:val="0"/>
              <w:spacing w:line="23" w:lineRule="atLeast"/>
            </w:pPr>
            <w:r>
              <w:rPr>
                <w:rFonts w:hint="eastAsia" w:ascii="宋体" w:hAnsi="宋体" w:eastAsia="宋体" w:cs="宋体"/>
                <w:color w:val="393939"/>
                <w:sz w:val="19"/>
                <w:szCs w:val="19"/>
              </w:rPr>
              <w:t>6.裸金属架构，无需宿主操作系统，支持向导式安装。兼容市场上主流x86服务器和存储设备。</w:t>
            </w:r>
          </w:p>
          <w:p>
            <w:pPr>
              <w:pStyle w:val="13"/>
              <w:keepNext w:val="0"/>
              <w:keepLines w:val="0"/>
              <w:widowControl/>
              <w:suppressLineNumbers w:val="0"/>
              <w:spacing w:line="23" w:lineRule="atLeast"/>
            </w:pPr>
            <w:r>
              <w:rPr>
                <w:rFonts w:hint="eastAsia" w:ascii="宋体" w:hAnsi="宋体" w:eastAsia="宋体" w:cs="宋体"/>
                <w:color w:val="393939"/>
                <w:sz w:val="19"/>
                <w:szCs w:val="19"/>
              </w:rPr>
              <w:t>7. 为确保桌面云软件开发的成熟度，要求能力成熟度模型集成具备最优化级；（投标文件中须提供证明材料）</w:t>
            </w:r>
          </w:p>
          <w:p>
            <w:pPr>
              <w:pStyle w:val="13"/>
              <w:keepNext w:val="0"/>
              <w:keepLines w:val="0"/>
              <w:widowControl/>
              <w:suppressLineNumbers w:val="0"/>
              <w:spacing w:line="23" w:lineRule="atLeast"/>
            </w:pPr>
            <w:r>
              <w:rPr>
                <w:rFonts w:hint="eastAsia" w:ascii="宋体" w:hAnsi="宋体" w:eastAsia="宋体" w:cs="宋体"/>
                <w:color w:val="393939"/>
                <w:sz w:val="19"/>
                <w:szCs w:val="19"/>
              </w:rPr>
              <w:t>8.无需部署集中管理平台，通过Web方式接入集群主服务器，实现对服务器、虚拟机、网络、存储等进行统一管理。</w:t>
            </w:r>
          </w:p>
          <w:p>
            <w:pPr>
              <w:pStyle w:val="13"/>
              <w:keepNext w:val="0"/>
              <w:keepLines w:val="0"/>
              <w:widowControl/>
              <w:suppressLineNumbers w:val="0"/>
              <w:spacing w:line="23" w:lineRule="atLeast"/>
            </w:pPr>
            <w:r>
              <w:rPr>
                <w:rFonts w:hint="eastAsia" w:ascii="宋体" w:hAnsi="宋体" w:eastAsia="宋体" w:cs="宋体"/>
                <w:color w:val="393939"/>
                <w:sz w:val="19"/>
                <w:szCs w:val="19"/>
              </w:rPr>
              <w:t>9..支持虚拟机远程运维，无需安装任何插件，即可接入虚拟机操作系统界面，实现桌面管理；</w:t>
            </w:r>
          </w:p>
          <w:p>
            <w:pPr>
              <w:pStyle w:val="13"/>
              <w:keepNext w:val="0"/>
              <w:keepLines w:val="0"/>
              <w:widowControl/>
              <w:suppressLineNumbers w:val="0"/>
              <w:spacing w:after="100" w:afterAutospacing="1" w:line="23" w:lineRule="atLeast"/>
            </w:pPr>
            <w:r>
              <w:rPr>
                <w:rFonts w:hint="eastAsia" w:ascii="宋体" w:hAnsi="宋体" w:eastAsia="宋体" w:cs="宋体"/>
                <w:color w:val="393939"/>
                <w:sz w:val="19"/>
                <w:szCs w:val="19"/>
              </w:rPr>
              <w:t>10.本项目要求所提供的存储虚拟化授权无容量限制，满足桌面云数据存储空间的扩容需求；（提供分布式存储软件和桌面云系统软件著作权证明材料，并提供桌面云存储虚拟化授权基于CPU，无磁盘容量限制的配置截图）</w:t>
            </w:r>
          </w:p>
          <w:p>
            <w:pPr>
              <w:pStyle w:val="13"/>
              <w:keepNext w:val="0"/>
              <w:keepLines w:val="0"/>
              <w:widowControl/>
              <w:suppressLineNumbers w:val="0"/>
              <w:spacing w:after="100" w:afterAutospacing="1" w:line="23" w:lineRule="atLeast"/>
            </w:pPr>
            <w:r>
              <w:rPr>
                <w:rFonts w:hint="eastAsia" w:ascii="宋体" w:hAnsi="宋体" w:eastAsia="宋体" w:cs="宋体"/>
                <w:color w:val="393939"/>
                <w:sz w:val="19"/>
                <w:szCs w:val="19"/>
              </w:rPr>
              <w:t>11.要求支持快照技术，当系统故障时可实现故障回滚；同时支持增量保存快照数据，以节省存储空间；（提供配置界面截图）</w:t>
            </w:r>
          </w:p>
          <w:p>
            <w:pPr>
              <w:pStyle w:val="13"/>
              <w:keepNext w:val="0"/>
              <w:keepLines w:val="0"/>
              <w:widowControl/>
              <w:suppressLineNumbers w:val="0"/>
              <w:spacing w:after="100" w:afterAutospacing="1" w:line="23" w:lineRule="atLeast"/>
            </w:pPr>
            <w:r>
              <w:rPr>
                <w:rFonts w:hint="eastAsia" w:ascii="宋体" w:hAnsi="宋体" w:eastAsia="宋体" w:cs="宋体"/>
                <w:color w:val="393939"/>
                <w:sz w:val="19"/>
                <w:szCs w:val="19"/>
              </w:rPr>
              <w:t>12.支持云桌面导航条显示网络状态，支持导航条显示当前终端（瘦终端、PC客户端）与云桌面控制台之间的网络状态，网络状态会以不同的信号格数显示，用户可以实时查看网络状态和时延，当网络状态不佳时在后台进行日志记录，方便管理员进行网络状态查询和维护。（提供功能截图）</w:t>
            </w:r>
            <w:r>
              <w:rPr>
                <w:rFonts w:hint="eastAsia" w:ascii="宋体" w:hAnsi="宋体" w:eastAsia="宋体" w:cs="宋体"/>
                <w:color w:val="393939"/>
                <w:sz w:val="19"/>
                <w:szCs w:val="19"/>
              </w:rPr>
              <w:br w:type="textWrapping"/>
            </w:r>
            <w:r>
              <w:rPr>
                <w:rFonts w:hint="eastAsia" w:ascii="宋体" w:hAnsi="宋体" w:eastAsia="宋体" w:cs="宋体"/>
                <w:color w:val="393939"/>
                <w:sz w:val="19"/>
                <w:szCs w:val="19"/>
              </w:rPr>
              <w:t>13.支持远程协助功能，管理员在云桌面控制台中可以直接向需要协助的用户发起远程协助，用户桌面无需安装任何辅助软件。（提供功能截图）</w:t>
            </w:r>
          </w:p>
        </w:tc>
        <w:tc>
          <w:tcPr>
            <w:tcW w:w="855"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345" w:lineRule="atLeast"/>
            </w:pPr>
            <w:r>
              <w:rPr>
                <w:rFonts w:hint="eastAsia" w:ascii="宋体" w:hAnsi="宋体" w:eastAsia="宋体" w:cs="宋体"/>
                <w:color w:val="393939"/>
                <w:sz w:val="19"/>
                <w:szCs w:val="19"/>
              </w:rPr>
              <w:t>６套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345" w:lineRule="atLeast"/>
              <w:jc w:val="center"/>
            </w:pPr>
            <w:r>
              <w:rPr>
                <w:rFonts w:hint="eastAsia" w:ascii="宋体" w:hAnsi="宋体" w:eastAsia="宋体" w:cs="宋体"/>
                <w:color w:val="393939"/>
                <w:sz w:val="19"/>
                <w:szCs w:val="19"/>
              </w:rPr>
              <w:t>３</w:t>
            </w:r>
          </w:p>
        </w:tc>
        <w:tc>
          <w:tcPr>
            <w:tcW w:w="990"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345" w:lineRule="atLeast"/>
              <w:jc w:val="center"/>
            </w:pPr>
            <w:r>
              <w:rPr>
                <w:rFonts w:hint="eastAsia" w:ascii="宋体" w:hAnsi="宋体" w:eastAsia="宋体" w:cs="宋体"/>
                <w:color w:val="393939"/>
                <w:sz w:val="19"/>
                <w:szCs w:val="19"/>
              </w:rPr>
              <w:t>虚拟管理接入授权软件</w:t>
            </w:r>
          </w:p>
        </w:tc>
        <w:tc>
          <w:tcPr>
            <w:tcW w:w="6660"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23" w:lineRule="atLeast"/>
            </w:pPr>
            <w:r>
              <w:rPr>
                <w:rFonts w:hint="eastAsia" w:ascii="宋体" w:hAnsi="宋体" w:eastAsia="宋体" w:cs="宋体"/>
                <w:color w:val="393939"/>
                <w:sz w:val="19"/>
                <w:szCs w:val="19"/>
              </w:rPr>
              <w:t>1.瘦终端接入license，用于云终端接入虚拟桌面的授权许可，一般与云终端的数量一致；</w:t>
            </w:r>
          </w:p>
          <w:p>
            <w:pPr>
              <w:pStyle w:val="13"/>
              <w:keepNext w:val="0"/>
              <w:keepLines w:val="0"/>
              <w:widowControl/>
              <w:suppressLineNumbers w:val="0"/>
              <w:spacing w:line="23" w:lineRule="atLeast"/>
            </w:pPr>
            <w:r>
              <w:rPr>
                <w:rFonts w:hint="eastAsia" w:ascii="宋体" w:hAnsi="宋体" w:eastAsia="宋体" w:cs="宋体"/>
                <w:color w:val="393939"/>
                <w:sz w:val="19"/>
                <w:szCs w:val="19"/>
              </w:rPr>
              <w:t>2.要求每用户授权支持发布个性化桌面、共享式桌面、远程应用等至少3种资源类型；（提供界面截图证明）</w:t>
            </w:r>
          </w:p>
          <w:p>
            <w:pPr>
              <w:pStyle w:val="13"/>
              <w:keepNext w:val="0"/>
              <w:keepLines w:val="0"/>
              <w:widowControl/>
              <w:suppressLineNumbers w:val="0"/>
              <w:spacing w:line="23" w:lineRule="atLeast"/>
            </w:pPr>
            <w:r>
              <w:rPr>
                <w:rFonts w:hint="eastAsia" w:ascii="宋体" w:hAnsi="宋体" w:eastAsia="宋体" w:cs="宋体"/>
                <w:color w:val="393939"/>
                <w:sz w:val="19"/>
                <w:szCs w:val="19"/>
              </w:rPr>
              <w:t>3.接入授权的数量决定用户同时在线的数量，也就是并发的用户数量，授权可根据客户需要进行添加；</w:t>
            </w:r>
          </w:p>
          <w:p>
            <w:pPr>
              <w:pStyle w:val="13"/>
              <w:keepNext w:val="0"/>
              <w:keepLines w:val="0"/>
              <w:widowControl/>
              <w:suppressLineNumbers w:val="0"/>
              <w:spacing w:line="23" w:lineRule="atLeast"/>
            </w:pPr>
            <w:r>
              <w:rPr>
                <w:rFonts w:hint="eastAsia" w:ascii="宋体" w:hAnsi="宋体" w:eastAsia="宋体" w:cs="宋体"/>
                <w:color w:val="393939"/>
                <w:sz w:val="19"/>
                <w:szCs w:val="19"/>
              </w:rPr>
              <w:t>4.支持Windows7、WindowsXP、WindowsServer、 2003、2008等多种云桌面操作系统；支持云终端、笔记本、PC、智能终端（iOS/Android）等多种类型接入终端；</w:t>
            </w:r>
          </w:p>
          <w:p>
            <w:pPr>
              <w:pStyle w:val="13"/>
              <w:keepNext w:val="0"/>
              <w:keepLines w:val="0"/>
              <w:widowControl/>
              <w:suppressLineNumbers w:val="0"/>
              <w:spacing w:line="23" w:lineRule="atLeast"/>
            </w:pPr>
            <w:r>
              <w:rPr>
                <w:rFonts w:hint="eastAsia" w:ascii="宋体" w:hAnsi="宋体" w:eastAsia="宋体" w:cs="宋体"/>
                <w:color w:val="393939"/>
                <w:sz w:val="19"/>
                <w:szCs w:val="19"/>
              </w:rPr>
              <w:t>5.支持接入虚拟机时显示开机画面，同时支持在虚拟机上更改分辨率（在桌面右键点击“个性化分辨率”进行设置），保持与普通PC一样的使用方式；（提供界面截图证明）</w:t>
            </w:r>
          </w:p>
          <w:p>
            <w:pPr>
              <w:pStyle w:val="13"/>
              <w:keepNext w:val="0"/>
              <w:keepLines w:val="0"/>
              <w:widowControl/>
              <w:suppressLineNumbers w:val="0"/>
              <w:spacing w:line="23" w:lineRule="atLeast"/>
            </w:pPr>
            <w:r>
              <w:rPr>
                <w:rFonts w:hint="eastAsia" w:ascii="宋体" w:hAnsi="宋体" w:eastAsia="宋体" w:cs="宋体"/>
                <w:color w:val="393939"/>
                <w:sz w:val="19"/>
                <w:szCs w:val="19"/>
              </w:rPr>
              <w:t>6.支持联动关机技术，我单位用户可以跟使用PC一样，打开操作系统“开始”菜单、点击“关机”按钮，桌面云终端和操作系统将会一体化关闭，没有多余的操作步骤；</w:t>
            </w:r>
          </w:p>
          <w:p>
            <w:pPr>
              <w:pStyle w:val="13"/>
              <w:keepNext w:val="0"/>
              <w:keepLines w:val="0"/>
              <w:widowControl/>
              <w:suppressLineNumbers w:val="0"/>
              <w:spacing w:line="23" w:lineRule="atLeast"/>
            </w:pPr>
            <w:r>
              <w:rPr>
                <w:rFonts w:hint="eastAsia" w:ascii="宋体" w:hAnsi="宋体" w:eastAsia="宋体" w:cs="宋体"/>
                <w:color w:val="393939"/>
                <w:sz w:val="19"/>
                <w:szCs w:val="19"/>
              </w:rPr>
              <w:t>7.为保障数据的安全性，需支持集中分配个人磁盘，并可以定义磁盘空间大小，在空间不足时还可以为用户新增个人磁盘，以满足用户文档存储需求。</w:t>
            </w:r>
          </w:p>
          <w:p>
            <w:pPr>
              <w:pStyle w:val="13"/>
              <w:keepNext w:val="0"/>
              <w:keepLines w:val="0"/>
              <w:widowControl/>
              <w:suppressLineNumbers w:val="0"/>
              <w:spacing w:line="23" w:lineRule="atLeast"/>
            </w:pPr>
            <w:r>
              <w:rPr>
                <w:rFonts w:hint="eastAsia" w:ascii="宋体" w:hAnsi="宋体" w:eastAsia="宋体" w:cs="宋体"/>
                <w:color w:val="393939"/>
                <w:sz w:val="19"/>
                <w:szCs w:val="19"/>
              </w:rPr>
              <w:t>8、支持临时权限，管理员为部分用户临时在某个时间段内放通usb和pc剪切板等权限，并在到期后自动回收该权限，保证数据安全。</w:t>
            </w:r>
          </w:p>
          <w:p>
            <w:pPr>
              <w:pStyle w:val="13"/>
              <w:keepNext w:val="0"/>
              <w:keepLines w:val="0"/>
              <w:widowControl/>
              <w:suppressLineNumbers w:val="0"/>
              <w:spacing w:before="100" w:beforeAutospacing="1" w:after="100" w:afterAutospacing="1" w:line="23" w:lineRule="atLeast"/>
            </w:pPr>
            <w:r>
              <w:rPr>
                <w:rFonts w:hint="eastAsia" w:ascii="宋体" w:hAnsi="宋体" w:eastAsia="宋体" w:cs="宋体"/>
                <w:color w:val="393939"/>
                <w:sz w:val="19"/>
                <w:szCs w:val="19"/>
              </w:rPr>
              <w:t>9. 桌面云产品厂商具备CMMI5级别证书，确保桌面云软件开发成熟度，需提供证书复印件。</w:t>
            </w:r>
          </w:p>
          <w:p>
            <w:pPr>
              <w:pStyle w:val="13"/>
              <w:keepNext w:val="0"/>
              <w:keepLines w:val="0"/>
              <w:widowControl/>
              <w:suppressLineNumbers w:val="0"/>
              <w:spacing w:line="23" w:lineRule="atLeast"/>
            </w:pPr>
            <w:r>
              <w:rPr>
                <w:rFonts w:hint="eastAsia" w:ascii="宋体" w:hAnsi="宋体" w:eastAsia="宋体" w:cs="宋体"/>
                <w:color w:val="393939"/>
                <w:sz w:val="19"/>
                <w:szCs w:val="19"/>
              </w:rPr>
              <w:t>10. 客户端连接虚拟桌面无需依赖虚拟机IP，具体表现为禁用虚机网卡或者随意更改IP，桌面会话不会中断，用户可以正常办公和播放视频，避免因误操作而导致业务中断。</w:t>
            </w:r>
          </w:p>
          <w:p>
            <w:pPr>
              <w:pStyle w:val="13"/>
              <w:keepNext w:val="0"/>
              <w:keepLines w:val="0"/>
              <w:widowControl/>
              <w:suppressLineNumbers w:val="0"/>
              <w:spacing w:before="100" w:beforeAutospacing="1" w:after="100" w:afterAutospacing="1" w:line="23" w:lineRule="atLeast"/>
            </w:pPr>
            <w:r>
              <w:rPr>
                <w:rFonts w:hint="eastAsia" w:ascii="宋体" w:hAnsi="宋体" w:eastAsia="宋体" w:cs="宋体"/>
                <w:color w:val="393939"/>
                <w:sz w:val="19"/>
                <w:szCs w:val="19"/>
              </w:rPr>
              <w:t>11.支持USB外设映射，兼容高拍仪、扫描枪、扫描仪、摄像头、密码小键盘、指纹收集器、身份证读卡器、手写板、打印机、USB-key等不同外设。</w:t>
            </w:r>
          </w:p>
          <w:p>
            <w:pPr>
              <w:pStyle w:val="13"/>
              <w:keepNext w:val="0"/>
              <w:keepLines w:val="0"/>
              <w:widowControl/>
              <w:suppressLineNumbers w:val="0"/>
              <w:spacing w:before="100" w:beforeAutospacing="1" w:after="100" w:afterAutospacing="1" w:line="23" w:lineRule="atLeast"/>
            </w:pPr>
            <w:r>
              <w:rPr>
                <w:rFonts w:hint="eastAsia" w:ascii="宋体" w:hAnsi="宋体" w:eastAsia="宋体" w:cs="宋体"/>
                <w:color w:val="393939"/>
                <w:sz w:val="19"/>
                <w:szCs w:val="19"/>
              </w:rPr>
              <w:t>12. 支持自助快照恢复，当用户自己误操作导致云桌面卡慢、蓝屏、死机或者中病毒的时候，用户通过导航条按钮，可以自助进行系统盘快照还原操作，支持安卓瘦终端、PC客户端。</w:t>
            </w:r>
          </w:p>
          <w:p>
            <w:pPr>
              <w:pStyle w:val="13"/>
              <w:keepNext w:val="0"/>
              <w:keepLines w:val="0"/>
              <w:widowControl/>
              <w:suppressLineNumbers w:val="0"/>
              <w:spacing w:line="23" w:lineRule="atLeast"/>
            </w:pPr>
            <w:r>
              <w:rPr>
                <w:rFonts w:hint="eastAsia" w:ascii="宋体" w:hAnsi="宋体" w:eastAsia="宋体" w:cs="宋体"/>
                <w:color w:val="393939"/>
                <w:sz w:val="19"/>
                <w:szCs w:val="19"/>
              </w:rPr>
              <w:t>13.要求软件控制器原生自带DHCP功能，用户无需单独部署DHCP服务器或虚拟机服务器即可对瘦终端和虚拟机自动分配IP地址，降低部署难度；（投标文件中须提供相关配置截图证明）</w:t>
            </w:r>
          </w:p>
          <w:p>
            <w:pPr>
              <w:pStyle w:val="13"/>
              <w:keepNext w:val="0"/>
              <w:keepLines w:val="0"/>
              <w:widowControl/>
              <w:suppressLineNumbers w:val="0"/>
              <w:spacing w:line="23" w:lineRule="atLeast"/>
            </w:pPr>
            <w:r>
              <w:rPr>
                <w:rFonts w:hint="eastAsia" w:ascii="宋体" w:hAnsi="宋体" w:eastAsia="宋体" w:cs="宋体"/>
                <w:color w:val="393939"/>
                <w:sz w:val="19"/>
                <w:szCs w:val="19"/>
              </w:rPr>
              <w:t>14.桌面云厂商需具备以下至少一种技术能力：基于虚拟桌面的设备接入方法及装置、网络加速方法及系统、虚拟桌面中的数据安全处理方法及系统、基于安全桌面的数据存储方法及装置，为了保证技术能力的真实性，需要提供相应技术能力的权威机构测评报告或相关证书复印件。</w:t>
            </w:r>
          </w:p>
        </w:tc>
        <w:tc>
          <w:tcPr>
            <w:tcW w:w="855"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345" w:lineRule="atLeast"/>
            </w:pPr>
            <w:r>
              <w:rPr>
                <w:rFonts w:hint="eastAsia" w:ascii="宋体" w:hAnsi="宋体" w:eastAsia="宋体" w:cs="宋体"/>
                <w:color w:val="393939"/>
                <w:sz w:val="19"/>
                <w:szCs w:val="19"/>
              </w:rPr>
              <w:t>184套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345" w:lineRule="atLeast"/>
              <w:jc w:val="center"/>
            </w:pPr>
            <w:r>
              <w:rPr>
                <w:rFonts w:hint="eastAsia" w:ascii="宋体" w:hAnsi="宋体" w:eastAsia="宋体" w:cs="宋体"/>
                <w:color w:val="393939"/>
                <w:sz w:val="19"/>
                <w:szCs w:val="19"/>
              </w:rPr>
              <w:t>４</w:t>
            </w:r>
          </w:p>
        </w:tc>
        <w:tc>
          <w:tcPr>
            <w:tcW w:w="990"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345" w:lineRule="atLeast"/>
              <w:jc w:val="center"/>
            </w:pPr>
            <w:r>
              <w:rPr>
                <w:rFonts w:hint="eastAsia" w:ascii="宋体" w:hAnsi="宋体" w:eastAsia="宋体" w:cs="宋体"/>
                <w:color w:val="393939"/>
                <w:sz w:val="19"/>
                <w:szCs w:val="19"/>
              </w:rPr>
              <w:t>瘦终端</w:t>
            </w:r>
          </w:p>
        </w:tc>
        <w:tc>
          <w:tcPr>
            <w:tcW w:w="6660"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23" w:lineRule="atLeast"/>
            </w:pPr>
            <w:r>
              <w:rPr>
                <w:rFonts w:hint="eastAsia" w:ascii="宋体" w:hAnsi="宋体" w:eastAsia="宋体" w:cs="宋体"/>
                <w:color w:val="393939"/>
                <w:sz w:val="19"/>
                <w:szCs w:val="19"/>
              </w:rPr>
              <w:t>1.云终端硬件平台：基于ARM架构，配置≥ A9 (双核)处理器，配置内存≥1G，配置存储≥4G，配置≥6个USB接口，配置≥1个VGA口，配置≥1对音频输入/输出接口，最大功率≤24W；</w:t>
            </w:r>
          </w:p>
          <w:p>
            <w:pPr>
              <w:pStyle w:val="13"/>
              <w:keepNext w:val="0"/>
              <w:keepLines w:val="0"/>
              <w:widowControl/>
              <w:suppressLineNumbers w:val="0"/>
              <w:spacing w:line="23" w:lineRule="atLeast"/>
            </w:pPr>
            <w:r>
              <w:rPr>
                <w:rFonts w:hint="eastAsia" w:ascii="宋体" w:hAnsi="宋体" w:eastAsia="宋体" w:cs="宋体"/>
                <w:color w:val="393939"/>
                <w:sz w:val="19"/>
                <w:szCs w:val="19"/>
              </w:rPr>
              <w:t>2．采用嵌入式操作系统(如Android、Linux)，且无需额外授权费用；如果终端本地为Windows操作系统，为正版操作系统；须提供正版化的Windows操作系统说明函；</w:t>
            </w:r>
          </w:p>
          <w:p>
            <w:pPr>
              <w:pStyle w:val="13"/>
              <w:keepNext w:val="0"/>
              <w:keepLines w:val="0"/>
              <w:widowControl/>
              <w:suppressLineNumbers w:val="0"/>
              <w:spacing w:line="23" w:lineRule="atLeast"/>
            </w:pPr>
            <w:r>
              <w:rPr>
                <w:rFonts w:hint="eastAsia" w:ascii="宋体" w:hAnsi="宋体" w:eastAsia="宋体" w:cs="宋体"/>
                <w:color w:val="393939"/>
                <w:sz w:val="19"/>
                <w:szCs w:val="19"/>
              </w:rPr>
              <w:t>3．为使桌面云系统与传统电脑使用操作一致，桌面云系统支持显示虚拟机开关机画面，同时支持分辨率自适应和更改分辨率，操作时要求与PC一样，即在桌面右键点击“个性化分辨率”进行设置，并且禁用虚机网卡或者随意更改IP，桌面会话不会中断；</w:t>
            </w:r>
          </w:p>
          <w:p>
            <w:pPr>
              <w:pStyle w:val="13"/>
              <w:keepNext w:val="0"/>
              <w:keepLines w:val="0"/>
              <w:widowControl/>
              <w:suppressLineNumbers w:val="0"/>
              <w:spacing w:line="23" w:lineRule="atLeast"/>
            </w:pPr>
            <w:r>
              <w:rPr>
                <w:rFonts w:hint="eastAsia" w:ascii="宋体" w:hAnsi="宋体" w:eastAsia="宋体" w:cs="宋体"/>
                <w:color w:val="393939"/>
                <w:sz w:val="19"/>
                <w:szCs w:val="19"/>
              </w:rPr>
              <w:t>4．支持终端集中管理，包括状态监控、修改配置等功能，与桌面云控制器软件同一Web管理界面；</w:t>
            </w:r>
          </w:p>
          <w:p>
            <w:pPr>
              <w:pStyle w:val="13"/>
              <w:keepNext w:val="0"/>
              <w:keepLines w:val="0"/>
              <w:widowControl/>
              <w:suppressLineNumbers w:val="0"/>
              <w:spacing w:line="23" w:lineRule="atLeast"/>
            </w:pPr>
            <w:r>
              <w:rPr>
                <w:rFonts w:hint="eastAsia" w:ascii="宋体" w:hAnsi="宋体" w:eastAsia="宋体" w:cs="宋体"/>
                <w:color w:val="393939"/>
                <w:sz w:val="19"/>
                <w:szCs w:val="19"/>
              </w:rPr>
              <w:t>5．为解决不同人员访问的权限设置问题，支持虚拟门户功能，不同办公人员通过不同地址接入虚拟桌面，适用于互联网访问场景，可以特定账号在外网访问桌面云，而其他人只能在内网访问。</w:t>
            </w:r>
          </w:p>
          <w:p>
            <w:pPr>
              <w:pStyle w:val="13"/>
              <w:keepNext w:val="0"/>
              <w:keepLines w:val="0"/>
              <w:widowControl/>
              <w:suppressLineNumbers w:val="0"/>
              <w:spacing w:line="23" w:lineRule="atLeast"/>
            </w:pPr>
            <w:r>
              <w:rPr>
                <w:rFonts w:hint="eastAsia" w:ascii="宋体" w:hAnsi="宋体" w:eastAsia="宋体" w:cs="宋体"/>
                <w:color w:val="393939"/>
                <w:sz w:val="19"/>
                <w:szCs w:val="19"/>
              </w:rPr>
              <w:t>6.支持BS和CS虚拟应用和Windows虚拟桌面的单点登录功能，实现多系统整合，避免用户重复输入账号或口令的繁琐操作；（投标文件中须提供相关配置截图证明）</w:t>
            </w:r>
          </w:p>
          <w:p>
            <w:pPr>
              <w:pStyle w:val="13"/>
              <w:keepNext w:val="0"/>
              <w:keepLines w:val="0"/>
              <w:widowControl/>
              <w:suppressLineNumbers w:val="0"/>
              <w:spacing w:line="23" w:lineRule="atLeast"/>
            </w:pPr>
            <w:r>
              <w:rPr>
                <w:rFonts w:hint="eastAsia" w:ascii="宋体" w:hAnsi="宋体" w:eastAsia="宋体" w:cs="宋体"/>
                <w:color w:val="393939"/>
                <w:sz w:val="19"/>
                <w:szCs w:val="19"/>
              </w:rPr>
              <w:t>7.支持终端定时开关机、上电自启等特性，要求控制台界面可基于不同终端分组选择是否开启这些功能；（提供相关配置截图证明）</w:t>
            </w:r>
          </w:p>
          <w:p>
            <w:pPr>
              <w:pStyle w:val="13"/>
              <w:keepNext w:val="0"/>
              <w:keepLines w:val="0"/>
              <w:widowControl/>
              <w:suppressLineNumbers w:val="0"/>
              <w:spacing w:line="23" w:lineRule="atLeast"/>
            </w:pPr>
            <w:r>
              <w:rPr>
                <w:rFonts w:hint="eastAsia" w:ascii="宋体" w:hAnsi="宋体" w:eastAsia="宋体" w:cs="宋体"/>
                <w:color w:val="393939"/>
                <w:sz w:val="19"/>
                <w:szCs w:val="19"/>
              </w:rPr>
              <w:t>8.支持为云桌面设置还原模式，在操作系统重启后，除个人数据之外其他内容均还原为初始状态，始终为用户呈现干净可用的桌面环境，降低系统故障率；</w:t>
            </w:r>
          </w:p>
          <w:p>
            <w:pPr>
              <w:pStyle w:val="13"/>
              <w:keepNext w:val="0"/>
              <w:keepLines w:val="0"/>
              <w:widowControl/>
              <w:suppressLineNumbers w:val="0"/>
              <w:spacing w:line="23" w:lineRule="atLeast"/>
            </w:pPr>
            <w:r>
              <w:rPr>
                <w:rFonts w:hint="eastAsia" w:ascii="宋体" w:hAnsi="宋体" w:eastAsia="宋体" w:cs="宋体"/>
                <w:color w:val="393939"/>
                <w:sz w:val="19"/>
                <w:szCs w:val="19"/>
              </w:rPr>
              <w:t>9.支持终端硬件解码技术，视频重定向技术，支持在线和本地视频流畅播放，实现1080P高清视频流畅播放，并减少服务端资源占用；可支持多种播放器。（投标文件中须提供相关配置截图证明）</w:t>
            </w:r>
          </w:p>
          <w:p>
            <w:pPr>
              <w:pStyle w:val="13"/>
              <w:keepNext w:val="0"/>
              <w:keepLines w:val="0"/>
              <w:widowControl/>
              <w:suppressLineNumbers w:val="0"/>
              <w:spacing w:line="23" w:lineRule="atLeast"/>
            </w:pPr>
            <w:r>
              <w:rPr>
                <w:rFonts w:hint="eastAsia" w:ascii="宋体" w:hAnsi="宋体" w:eastAsia="宋体" w:cs="宋体"/>
                <w:color w:val="393939"/>
                <w:sz w:val="19"/>
                <w:szCs w:val="19"/>
              </w:rPr>
              <w:t>10.支持网页浏览加速，我单位用户在上网查资料等B/S业务系统时，操作响应更快、更流畅；（投标文件中须提供相关配置截图证明）</w:t>
            </w:r>
          </w:p>
          <w:p>
            <w:pPr>
              <w:pStyle w:val="13"/>
              <w:keepNext w:val="0"/>
              <w:keepLines w:val="0"/>
              <w:widowControl/>
              <w:suppressLineNumbers w:val="0"/>
              <w:spacing w:line="23" w:lineRule="atLeast"/>
            </w:pPr>
            <w:r>
              <w:rPr>
                <w:rFonts w:hint="eastAsia" w:ascii="宋体" w:hAnsi="宋体" w:eastAsia="宋体" w:cs="宋体"/>
                <w:color w:val="393939"/>
                <w:sz w:val="19"/>
                <w:szCs w:val="19"/>
              </w:rPr>
              <w:t>11.支持本地、AD域等多种情况下的单点登录，用户登录VDI客户端和虚拟桌面操作系统只有1次账号密码输入动作，保持和PC使用习惯一致；</w:t>
            </w:r>
          </w:p>
          <w:p>
            <w:pPr>
              <w:pStyle w:val="13"/>
              <w:keepNext w:val="0"/>
              <w:keepLines w:val="0"/>
              <w:widowControl/>
              <w:suppressLineNumbers w:val="0"/>
              <w:spacing w:line="23" w:lineRule="atLeast"/>
            </w:pPr>
            <w:r>
              <w:rPr>
                <w:rFonts w:hint="eastAsia" w:ascii="宋体" w:hAnsi="宋体" w:eastAsia="宋体" w:cs="宋体"/>
                <w:color w:val="393939"/>
                <w:sz w:val="19"/>
                <w:szCs w:val="19"/>
              </w:rPr>
              <w:t>12.为保障桌面云底层架构的安全可靠性，所投云桌面厂商云计算基础架构应通过云计算超融合架构可信评估方法的可信评估，提供数据中心联盟颁发的云计算架构可信评估报告。（提供证明材料）</w:t>
            </w:r>
          </w:p>
          <w:p>
            <w:pPr>
              <w:pStyle w:val="13"/>
              <w:keepNext w:val="0"/>
              <w:keepLines w:val="0"/>
              <w:widowControl/>
              <w:suppressLineNumbers w:val="0"/>
              <w:spacing w:line="23" w:lineRule="atLeast"/>
            </w:pPr>
            <w:r>
              <w:rPr>
                <w:rFonts w:hint="eastAsia" w:ascii="宋体" w:hAnsi="宋体" w:eastAsia="宋体" w:cs="宋体"/>
                <w:color w:val="393939"/>
                <w:sz w:val="19"/>
                <w:szCs w:val="19"/>
              </w:rPr>
              <w:t>13.为保证厂商应急响应和漏洞修复能力，厂商应具备国家信息安全漏洞库（CNNVD）技术支撑单位等级证书（二级）证书（提供证书复印件证明材料）</w:t>
            </w:r>
          </w:p>
        </w:tc>
        <w:tc>
          <w:tcPr>
            <w:tcW w:w="855"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345" w:lineRule="atLeast"/>
            </w:pPr>
            <w:r>
              <w:rPr>
                <w:rFonts w:hint="eastAsia" w:ascii="宋体" w:hAnsi="宋体" w:eastAsia="宋体" w:cs="宋体"/>
                <w:color w:val="393939"/>
                <w:sz w:val="19"/>
                <w:szCs w:val="19"/>
              </w:rPr>
              <w:t>184台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345" w:lineRule="atLeast"/>
              <w:jc w:val="center"/>
            </w:pPr>
            <w:r>
              <w:rPr>
                <w:rFonts w:hint="eastAsia" w:ascii="宋体" w:hAnsi="宋体" w:eastAsia="宋体" w:cs="宋体"/>
                <w:color w:val="393939"/>
                <w:sz w:val="19"/>
                <w:szCs w:val="19"/>
              </w:rPr>
              <w:t>5</w:t>
            </w:r>
          </w:p>
        </w:tc>
        <w:tc>
          <w:tcPr>
            <w:tcW w:w="990"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345" w:lineRule="atLeast"/>
            </w:pPr>
            <w:r>
              <w:rPr>
                <w:rFonts w:hint="eastAsia" w:ascii="宋体" w:hAnsi="宋体" w:eastAsia="宋体" w:cs="宋体"/>
                <w:color w:val="393939"/>
                <w:sz w:val="19"/>
                <w:szCs w:val="19"/>
              </w:rPr>
              <w:t>显示器</w:t>
            </w:r>
          </w:p>
        </w:tc>
        <w:tc>
          <w:tcPr>
            <w:tcW w:w="6660"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495" w:lineRule="atLeast"/>
            </w:pPr>
            <w:r>
              <w:rPr>
                <w:rFonts w:hint="eastAsia" w:ascii="宋体" w:hAnsi="宋体" w:eastAsia="宋体" w:cs="宋体"/>
                <w:color w:val="393939"/>
                <w:sz w:val="19"/>
                <w:szCs w:val="19"/>
              </w:rPr>
              <w:t>21.5寸平面、1920*1080、对比度4000:1、三边无边、75HZ刷新率、VGA+HDMI双接口、不闪屏、LowBlue（护眼模式）、EasyRead（类似纸质阅读体验）、VESA（壁挂）</w:t>
            </w:r>
          </w:p>
        </w:tc>
        <w:tc>
          <w:tcPr>
            <w:tcW w:w="855"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345" w:lineRule="atLeast"/>
            </w:pPr>
            <w:r>
              <w:rPr>
                <w:rFonts w:hint="eastAsia" w:ascii="宋体" w:hAnsi="宋体" w:eastAsia="宋体" w:cs="宋体"/>
                <w:color w:val="393939"/>
                <w:sz w:val="19"/>
                <w:szCs w:val="19"/>
              </w:rPr>
              <w:t>184台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345" w:lineRule="atLeast"/>
              <w:jc w:val="center"/>
            </w:pPr>
            <w:r>
              <w:rPr>
                <w:rFonts w:hint="eastAsia" w:ascii="宋体" w:hAnsi="宋体" w:eastAsia="宋体" w:cs="宋体"/>
                <w:color w:val="393939"/>
                <w:sz w:val="19"/>
                <w:szCs w:val="19"/>
              </w:rPr>
              <w:t>6</w:t>
            </w:r>
          </w:p>
        </w:tc>
        <w:tc>
          <w:tcPr>
            <w:tcW w:w="990"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345" w:lineRule="atLeast"/>
            </w:pPr>
            <w:r>
              <w:rPr>
                <w:rFonts w:hint="eastAsia" w:ascii="宋体" w:hAnsi="宋体" w:eastAsia="宋体" w:cs="宋体"/>
                <w:color w:val="393939"/>
                <w:sz w:val="19"/>
                <w:szCs w:val="19"/>
              </w:rPr>
              <w:t>课堂管理系统软件</w:t>
            </w:r>
          </w:p>
        </w:tc>
        <w:tc>
          <w:tcPr>
            <w:tcW w:w="6660"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495" w:lineRule="atLeast"/>
            </w:pPr>
            <w:r>
              <w:rPr>
                <w:rFonts w:hint="eastAsia" w:ascii="宋体" w:hAnsi="宋体" w:eastAsia="宋体" w:cs="宋体"/>
                <w:color w:val="393939"/>
                <w:sz w:val="19"/>
                <w:szCs w:val="19"/>
              </w:rPr>
              <w:t>1．支持屏屏和视频广播，广播画面不需要经过学生虚拟机，可从教师机直接推送到云终端，这样不仅能够提供更流畅的屏幕广播和学生演示效果，而且能够有效节省广播流量；</w:t>
            </w:r>
          </w:p>
          <w:p>
            <w:pPr>
              <w:pStyle w:val="13"/>
              <w:keepNext w:val="0"/>
              <w:keepLines w:val="0"/>
              <w:widowControl/>
              <w:suppressLineNumbers w:val="0"/>
              <w:spacing w:line="495" w:lineRule="atLeast"/>
            </w:pPr>
            <w:r>
              <w:rPr>
                <w:rFonts w:hint="eastAsia" w:ascii="宋体" w:hAnsi="宋体" w:eastAsia="宋体" w:cs="宋体"/>
                <w:color w:val="393939"/>
                <w:sz w:val="19"/>
                <w:szCs w:val="19"/>
              </w:rPr>
              <w:t>2．支持离线教学，在这种情况下，教师机必须是物理PC，即使服务端网络中断，教师PC依然可以将屏幕广播画面推送给云终端，确保教学业务不中断；</w:t>
            </w:r>
          </w:p>
          <w:p>
            <w:pPr>
              <w:pStyle w:val="13"/>
              <w:keepNext w:val="0"/>
              <w:keepLines w:val="0"/>
              <w:widowControl/>
              <w:suppressLineNumbers w:val="0"/>
              <w:spacing w:line="495" w:lineRule="atLeast"/>
            </w:pPr>
            <w:r>
              <w:rPr>
                <w:rFonts w:hint="eastAsia" w:ascii="宋体" w:hAnsi="宋体" w:eastAsia="宋体" w:cs="宋体"/>
                <w:color w:val="393939"/>
                <w:sz w:val="19"/>
                <w:szCs w:val="19"/>
              </w:rPr>
              <w:t>3．支持课程切换，管理员先根据上课需求创建对应类型及数量的虚拟机（比如计算机课虚拟机、公共课虚拟机等），可通过控制台按上课时间表配置“计划课表”，实现不同课程自动化切换，也可通过电子教室软件手动选择启动对应课程的虚拟机，切换时会先关闭上一节课的虚拟机，再自动启动本节课的虚拟机；</w:t>
            </w:r>
          </w:p>
          <w:p>
            <w:pPr>
              <w:pStyle w:val="13"/>
              <w:keepNext w:val="0"/>
              <w:keepLines w:val="0"/>
              <w:widowControl/>
              <w:suppressLineNumbers w:val="0"/>
              <w:spacing w:line="495" w:lineRule="atLeast"/>
            </w:pPr>
            <w:r>
              <w:rPr>
                <w:rFonts w:hint="eastAsia" w:ascii="宋体" w:hAnsi="宋体" w:eastAsia="宋体" w:cs="宋体"/>
                <w:color w:val="393939"/>
                <w:sz w:val="19"/>
                <w:szCs w:val="19"/>
              </w:rPr>
              <w:t>4．文件分发和提交支持拖拽添加文件，可添加不同目录下的文件或文件目录；</w:t>
            </w:r>
          </w:p>
          <w:p>
            <w:pPr>
              <w:pStyle w:val="13"/>
              <w:keepNext w:val="0"/>
              <w:keepLines w:val="0"/>
              <w:widowControl/>
              <w:suppressLineNumbers w:val="0"/>
              <w:spacing w:line="495" w:lineRule="atLeast"/>
            </w:pPr>
            <w:r>
              <w:rPr>
                <w:rFonts w:hint="eastAsia" w:ascii="宋体" w:hAnsi="宋体" w:eastAsia="宋体" w:cs="宋体"/>
                <w:color w:val="393939"/>
                <w:sz w:val="19"/>
                <w:szCs w:val="19"/>
              </w:rPr>
              <w:t>5．文件分发和提交支持拖拽添加，教师或学生一次分发或提交多个文件夹或多个文件目录下的文件；</w:t>
            </w:r>
          </w:p>
          <w:p>
            <w:pPr>
              <w:pStyle w:val="13"/>
              <w:keepNext w:val="0"/>
              <w:keepLines w:val="0"/>
              <w:widowControl/>
              <w:suppressLineNumbers w:val="0"/>
              <w:spacing w:line="495" w:lineRule="atLeast"/>
            </w:pPr>
            <w:r>
              <w:rPr>
                <w:rFonts w:hint="eastAsia" w:ascii="宋体" w:hAnsi="宋体" w:eastAsia="宋体" w:cs="宋体"/>
                <w:color w:val="393939"/>
                <w:sz w:val="19"/>
                <w:szCs w:val="19"/>
              </w:rPr>
              <w:t>6．教师机对学生机可设定网络浏览、程序应用策略，对不同学生应用不同策略，策略支持开放、白名单、黑名单，任意限制或仅开放某个网页或程序，网页浏览支持QQ、IE、谷歌、360、遨游等浏览器；</w:t>
            </w:r>
          </w:p>
          <w:p>
            <w:pPr>
              <w:pStyle w:val="13"/>
              <w:keepNext w:val="0"/>
              <w:keepLines w:val="0"/>
              <w:widowControl/>
              <w:suppressLineNumbers w:val="0"/>
              <w:spacing w:line="495" w:lineRule="atLeast"/>
            </w:pPr>
            <w:r>
              <w:rPr>
                <w:rFonts w:hint="eastAsia" w:ascii="宋体" w:hAnsi="宋体" w:eastAsia="宋体" w:cs="宋体"/>
                <w:color w:val="393939"/>
                <w:sz w:val="19"/>
                <w:szCs w:val="19"/>
              </w:rPr>
              <w:t>7．上网限制：设定学生访问网站的黑名单或白名单，对学生可以访问的Internet站点进行管理。支持多浏览器限制，如QQ、IE、谷歌、360、遨游等浏览器；</w:t>
            </w:r>
          </w:p>
          <w:p>
            <w:pPr>
              <w:pStyle w:val="13"/>
              <w:keepNext w:val="0"/>
              <w:keepLines w:val="0"/>
              <w:widowControl/>
              <w:suppressLineNumbers w:val="0"/>
              <w:spacing w:line="495" w:lineRule="atLeast"/>
            </w:pPr>
            <w:r>
              <w:rPr>
                <w:rFonts w:hint="eastAsia" w:ascii="宋体" w:hAnsi="宋体" w:eastAsia="宋体" w:cs="宋体"/>
                <w:color w:val="393939"/>
                <w:sz w:val="19"/>
                <w:szCs w:val="19"/>
              </w:rPr>
              <w:t>8．程序限制：通过各种策略的应用，可防止学生在教学过程中打游戏，或使用QQ，MSN等聊天工具；</w:t>
            </w:r>
          </w:p>
          <w:p>
            <w:pPr>
              <w:pStyle w:val="13"/>
              <w:keepNext w:val="0"/>
              <w:keepLines w:val="0"/>
              <w:widowControl/>
              <w:suppressLineNumbers w:val="0"/>
              <w:spacing w:line="495" w:lineRule="atLeast"/>
            </w:pPr>
            <w:r>
              <w:rPr>
                <w:rFonts w:hint="eastAsia" w:ascii="宋体" w:hAnsi="宋体" w:eastAsia="宋体" w:cs="宋体"/>
                <w:color w:val="393939"/>
                <w:sz w:val="19"/>
                <w:szCs w:val="19"/>
              </w:rPr>
              <w:t>9．学生演示：教师可选定一台学生机作为示范，由此学生代替教师进行示范教学；</w:t>
            </w:r>
          </w:p>
          <w:p>
            <w:pPr>
              <w:pStyle w:val="13"/>
              <w:keepNext w:val="0"/>
              <w:keepLines w:val="0"/>
              <w:widowControl/>
              <w:suppressLineNumbers w:val="0"/>
              <w:spacing w:line="495" w:lineRule="atLeast"/>
            </w:pPr>
            <w:r>
              <w:rPr>
                <w:rFonts w:hint="eastAsia" w:ascii="宋体" w:hAnsi="宋体" w:eastAsia="宋体" w:cs="宋体"/>
                <w:color w:val="393939"/>
                <w:sz w:val="19"/>
                <w:szCs w:val="19"/>
              </w:rPr>
              <w:t>10．分组教学：教师分派组长执行既定的功能，组长代替教师进行小组教学，小组不需要再临时创建，可以直接使用既有分组信息，教师可以监控每个分组的教学过程，以了解分组教学的进度；</w:t>
            </w:r>
          </w:p>
          <w:p>
            <w:pPr>
              <w:pStyle w:val="13"/>
              <w:keepNext w:val="0"/>
              <w:keepLines w:val="0"/>
              <w:widowControl/>
              <w:suppressLineNumbers w:val="0"/>
              <w:spacing w:line="495" w:lineRule="atLeast"/>
            </w:pPr>
            <w:r>
              <w:rPr>
                <w:rFonts w:hint="eastAsia" w:ascii="宋体" w:hAnsi="宋体" w:eastAsia="宋体" w:cs="宋体"/>
                <w:color w:val="393939"/>
                <w:sz w:val="19"/>
                <w:szCs w:val="19"/>
              </w:rPr>
              <w:t>11．分组讨论：教师可以创建多个小组进行讨论活动，并可任意选择分组加入讨论活动。同组师生支持多种方式进行交流，包括文字，表情，图片等；</w:t>
            </w:r>
          </w:p>
          <w:p>
            <w:pPr>
              <w:pStyle w:val="13"/>
              <w:keepNext w:val="0"/>
              <w:keepLines w:val="0"/>
              <w:widowControl/>
              <w:suppressLineNumbers w:val="0"/>
              <w:spacing w:line="495" w:lineRule="atLeast"/>
            </w:pPr>
            <w:r>
              <w:rPr>
                <w:rFonts w:hint="eastAsia" w:ascii="宋体" w:hAnsi="宋体" w:eastAsia="宋体" w:cs="宋体"/>
                <w:color w:val="393939"/>
                <w:sz w:val="19"/>
                <w:szCs w:val="19"/>
              </w:rPr>
              <w:t>12．签到：提供学生名单管理工具，为软件和考试模块提供实名验证。提供点名功能，支持保留学生多次登录记录、考勤统计、签到信息的导出与对比；</w:t>
            </w:r>
          </w:p>
          <w:p>
            <w:pPr>
              <w:pStyle w:val="13"/>
              <w:keepNext w:val="0"/>
              <w:keepLines w:val="0"/>
              <w:widowControl/>
              <w:suppressLineNumbers w:val="0"/>
              <w:spacing w:line="495" w:lineRule="atLeast"/>
            </w:pPr>
            <w:r>
              <w:rPr>
                <w:rFonts w:hint="eastAsia" w:ascii="宋体" w:hAnsi="宋体" w:eastAsia="宋体" w:cs="宋体"/>
                <w:color w:val="393939"/>
                <w:sz w:val="19"/>
                <w:szCs w:val="19"/>
              </w:rPr>
              <w:t>班级模型：有单独的管理界面，实现对班级模型的统一管理，并能够导入、导出，调用不同网络教室中的班级模型；</w:t>
            </w:r>
          </w:p>
          <w:p>
            <w:pPr>
              <w:pStyle w:val="13"/>
              <w:keepNext w:val="0"/>
              <w:keepLines w:val="0"/>
              <w:widowControl/>
              <w:suppressLineNumbers w:val="0"/>
              <w:spacing w:line="495" w:lineRule="atLeast"/>
            </w:pPr>
            <w:r>
              <w:rPr>
                <w:rFonts w:hint="eastAsia" w:ascii="宋体" w:hAnsi="宋体" w:eastAsia="宋体" w:cs="宋体"/>
                <w:color w:val="393939"/>
                <w:sz w:val="19"/>
                <w:szCs w:val="19"/>
              </w:rPr>
              <w:t>13．黑屏肃静：教师可以对单一、部分、全体学生执行黑屏肃静来禁止其进行任何操作，达到专心听课目的，教师可自定义黑屏的内容与图片；</w:t>
            </w:r>
          </w:p>
          <w:p>
            <w:pPr>
              <w:pStyle w:val="13"/>
              <w:keepNext w:val="0"/>
              <w:keepLines w:val="0"/>
              <w:widowControl/>
              <w:suppressLineNumbers w:val="0"/>
              <w:spacing w:line="495" w:lineRule="atLeast"/>
            </w:pPr>
            <w:r>
              <w:rPr>
                <w:rFonts w:hint="eastAsia" w:ascii="宋体" w:hAnsi="宋体" w:eastAsia="宋体" w:cs="宋体"/>
                <w:color w:val="393939"/>
                <w:sz w:val="19"/>
                <w:szCs w:val="19"/>
              </w:rPr>
              <w:t>图标监看：班级模型中可以显示学生机桌面的缩图。以定期更新，更新的快慢可由教师机程序定制，缩图显示大小也可自由设定。</w:t>
            </w:r>
          </w:p>
        </w:tc>
        <w:tc>
          <w:tcPr>
            <w:tcW w:w="855"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345" w:lineRule="atLeast"/>
            </w:pPr>
            <w:r>
              <w:rPr>
                <w:rFonts w:hint="eastAsia" w:ascii="宋体" w:hAnsi="宋体" w:eastAsia="宋体" w:cs="宋体"/>
                <w:color w:val="393939"/>
                <w:sz w:val="19"/>
                <w:szCs w:val="19"/>
              </w:rPr>
              <w:t>４套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345" w:lineRule="atLeast"/>
              <w:jc w:val="center"/>
            </w:pPr>
            <w:r>
              <w:rPr>
                <w:rFonts w:hint="eastAsia" w:ascii="宋体" w:hAnsi="宋体" w:eastAsia="宋体" w:cs="宋体"/>
                <w:color w:val="393939"/>
                <w:sz w:val="19"/>
                <w:szCs w:val="19"/>
              </w:rPr>
              <w:t>7</w:t>
            </w:r>
          </w:p>
        </w:tc>
        <w:tc>
          <w:tcPr>
            <w:tcW w:w="990"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345" w:lineRule="atLeast"/>
            </w:pPr>
            <w:r>
              <w:rPr>
                <w:rFonts w:hint="eastAsia" w:ascii="宋体" w:hAnsi="宋体" w:eastAsia="宋体" w:cs="宋体"/>
                <w:color w:val="393939"/>
                <w:sz w:val="19"/>
                <w:szCs w:val="19"/>
              </w:rPr>
              <w:t>接入交换机</w:t>
            </w:r>
          </w:p>
        </w:tc>
        <w:tc>
          <w:tcPr>
            <w:tcW w:w="6660"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23" w:lineRule="atLeast"/>
              <w:ind w:left="420"/>
            </w:pPr>
            <w:r>
              <w:rPr>
                <w:rFonts w:hint="eastAsia" w:ascii="宋体" w:hAnsi="宋体" w:eastAsia="宋体" w:cs="宋体"/>
                <w:color w:val="393939"/>
                <w:sz w:val="19"/>
                <w:szCs w:val="19"/>
              </w:rPr>
              <w:t>1. 千兆电口≥48个， 10G SPF+万兆光口≥4个；</w:t>
            </w:r>
          </w:p>
          <w:p>
            <w:pPr>
              <w:pStyle w:val="13"/>
              <w:keepNext w:val="0"/>
              <w:keepLines w:val="0"/>
              <w:widowControl/>
              <w:suppressLineNumbers w:val="0"/>
              <w:spacing w:line="23" w:lineRule="atLeast"/>
              <w:ind w:left="420"/>
            </w:pPr>
            <w:r>
              <w:rPr>
                <w:rFonts w:hint="eastAsia" w:ascii="宋体" w:hAnsi="宋体" w:eastAsia="宋体" w:cs="宋体"/>
                <w:color w:val="393939"/>
                <w:sz w:val="19"/>
                <w:szCs w:val="19"/>
              </w:rPr>
              <w:t>2. 1个Console口，1个Manage口</w:t>
            </w:r>
          </w:p>
          <w:p>
            <w:pPr>
              <w:pStyle w:val="13"/>
              <w:keepNext w:val="0"/>
              <w:keepLines w:val="0"/>
              <w:widowControl/>
              <w:suppressLineNumbers w:val="0"/>
              <w:spacing w:line="23" w:lineRule="atLeast"/>
              <w:ind w:left="420"/>
            </w:pPr>
            <w:r>
              <w:rPr>
                <w:rFonts w:hint="eastAsia" w:ascii="宋体" w:hAnsi="宋体" w:eastAsia="宋体" w:cs="宋体"/>
                <w:color w:val="393939"/>
                <w:sz w:val="19"/>
                <w:szCs w:val="19"/>
              </w:rPr>
              <w:t>3. 交换性能：≥336Gbps，包转发率：≥144Mpps</w:t>
            </w:r>
          </w:p>
          <w:p>
            <w:pPr>
              <w:pStyle w:val="13"/>
              <w:keepNext w:val="0"/>
              <w:keepLines w:val="0"/>
              <w:widowControl/>
              <w:suppressLineNumbers w:val="0"/>
              <w:spacing w:line="23" w:lineRule="atLeast"/>
              <w:ind w:left="420"/>
            </w:pPr>
            <w:r>
              <w:rPr>
                <w:rFonts w:hint="eastAsia" w:ascii="宋体" w:hAnsi="宋体" w:eastAsia="宋体" w:cs="宋体"/>
                <w:color w:val="393939"/>
                <w:sz w:val="19"/>
                <w:szCs w:val="19"/>
              </w:rPr>
              <w:t>4. 支持胖瘦一体化，可支持搭配控制器平台灵活切换智能交换机和普通交换机两种工作模式；</w:t>
            </w:r>
          </w:p>
          <w:p>
            <w:pPr>
              <w:pStyle w:val="13"/>
              <w:keepNext w:val="0"/>
              <w:keepLines w:val="0"/>
              <w:widowControl/>
              <w:suppressLineNumbers w:val="0"/>
              <w:spacing w:line="23" w:lineRule="atLeast"/>
              <w:ind w:left="420"/>
            </w:pPr>
            <w:r>
              <w:rPr>
                <w:rFonts w:hint="eastAsia" w:ascii="宋体" w:hAnsi="宋体" w:eastAsia="宋体" w:cs="宋体"/>
                <w:color w:val="393939"/>
                <w:sz w:val="19"/>
                <w:szCs w:val="19"/>
              </w:rPr>
              <w:t>5. 支持通过二层广播、静态IP地址、DHCP Option43、DNS域名等多种方式发现控制器管理平台；（提供功能截图证明）</w:t>
            </w:r>
          </w:p>
          <w:p>
            <w:pPr>
              <w:pStyle w:val="13"/>
              <w:keepNext w:val="0"/>
              <w:keepLines w:val="0"/>
              <w:widowControl/>
              <w:suppressLineNumbers w:val="0"/>
              <w:spacing w:line="23" w:lineRule="atLeast"/>
              <w:ind w:left="420"/>
            </w:pPr>
            <w:r>
              <w:rPr>
                <w:rFonts w:hint="eastAsia" w:ascii="宋体" w:hAnsi="宋体" w:eastAsia="宋体" w:cs="宋体"/>
                <w:color w:val="393939"/>
                <w:sz w:val="19"/>
                <w:szCs w:val="19"/>
              </w:rPr>
              <w:t>6. 支持搭配控制器平台“一键替换”按钮即可完成故障设备替换（提供平台功能截图证明）；</w:t>
            </w:r>
          </w:p>
          <w:p>
            <w:pPr>
              <w:pStyle w:val="13"/>
              <w:keepNext w:val="0"/>
              <w:keepLines w:val="0"/>
              <w:widowControl/>
              <w:suppressLineNumbers w:val="0"/>
              <w:spacing w:line="23" w:lineRule="atLeast"/>
              <w:ind w:left="420"/>
            </w:pPr>
            <w:r>
              <w:rPr>
                <w:rFonts w:hint="eastAsia" w:ascii="宋体" w:hAnsi="宋体" w:eastAsia="宋体" w:cs="宋体"/>
                <w:color w:val="393939"/>
                <w:sz w:val="19"/>
                <w:szCs w:val="19"/>
              </w:rPr>
              <w:t>7. 支持搭配控制器平台实现基于网络特征报文自动识别PC、路由器、监控、打印机终端设备等（提供功能截图证明）；</w:t>
            </w:r>
          </w:p>
          <w:p>
            <w:pPr>
              <w:pStyle w:val="13"/>
              <w:keepNext w:val="0"/>
              <w:keepLines w:val="0"/>
              <w:widowControl/>
              <w:suppressLineNumbers w:val="0"/>
              <w:spacing w:line="23" w:lineRule="atLeast"/>
              <w:ind w:left="420"/>
            </w:pPr>
            <w:r>
              <w:rPr>
                <w:rFonts w:hint="eastAsia" w:ascii="宋体" w:hAnsi="宋体" w:eastAsia="宋体" w:cs="宋体"/>
                <w:color w:val="393939"/>
                <w:sz w:val="19"/>
                <w:szCs w:val="19"/>
              </w:rPr>
              <w:t>8. 支持IEEE 802.3az 标准的 EEE节能技术：当EEE使能时，从而大幅度的减小端口在该阶段的功耗，达到了节能的目的；</w:t>
            </w:r>
          </w:p>
          <w:p>
            <w:pPr>
              <w:pStyle w:val="13"/>
              <w:keepNext w:val="0"/>
              <w:keepLines w:val="0"/>
              <w:widowControl/>
              <w:suppressLineNumbers w:val="0"/>
              <w:spacing w:line="23" w:lineRule="atLeast"/>
              <w:ind w:left="420"/>
            </w:pPr>
            <w:r>
              <w:rPr>
                <w:rFonts w:hint="eastAsia" w:ascii="宋体" w:hAnsi="宋体" w:eastAsia="宋体" w:cs="宋体"/>
                <w:color w:val="393939"/>
                <w:sz w:val="19"/>
                <w:szCs w:val="19"/>
              </w:rPr>
              <w:t>9. 支持STP、RSTP、MSTP协议</w:t>
            </w:r>
          </w:p>
          <w:p>
            <w:pPr>
              <w:pStyle w:val="13"/>
              <w:keepNext w:val="0"/>
              <w:keepLines w:val="0"/>
              <w:widowControl/>
              <w:suppressLineNumbers w:val="0"/>
              <w:spacing w:line="23" w:lineRule="atLeast"/>
              <w:ind w:left="420"/>
            </w:pPr>
            <w:r>
              <w:rPr>
                <w:rFonts w:hint="eastAsia" w:ascii="宋体" w:hAnsi="宋体" w:eastAsia="宋体" w:cs="宋体"/>
                <w:color w:val="393939"/>
                <w:sz w:val="19"/>
                <w:szCs w:val="19"/>
              </w:rPr>
              <w:t>10. 支持IGMP v1/v2/v3 Snooping</w:t>
            </w:r>
          </w:p>
          <w:p>
            <w:pPr>
              <w:pStyle w:val="13"/>
              <w:keepNext w:val="0"/>
              <w:keepLines w:val="0"/>
              <w:widowControl/>
              <w:suppressLineNumbers w:val="0"/>
              <w:spacing w:line="23" w:lineRule="atLeast"/>
              <w:ind w:left="420"/>
            </w:pPr>
            <w:r>
              <w:rPr>
                <w:rFonts w:hint="eastAsia" w:ascii="宋体" w:hAnsi="宋体" w:eastAsia="宋体" w:cs="宋体"/>
                <w:color w:val="393939"/>
                <w:sz w:val="19"/>
                <w:szCs w:val="19"/>
              </w:rPr>
              <w:t>11. 支持DHCP Server</w:t>
            </w:r>
          </w:p>
          <w:p>
            <w:pPr>
              <w:pStyle w:val="13"/>
              <w:keepNext w:val="0"/>
              <w:keepLines w:val="0"/>
              <w:widowControl/>
              <w:suppressLineNumbers w:val="0"/>
              <w:spacing w:line="23" w:lineRule="atLeast"/>
              <w:ind w:left="420"/>
            </w:pPr>
            <w:r>
              <w:rPr>
                <w:rFonts w:hint="eastAsia" w:ascii="宋体" w:hAnsi="宋体" w:eastAsia="宋体" w:cs="宋体"/>
                <w:color w:val="393939"/>
                <w:sz w:val="19"/>
                <w:szCs w:val="19"/>
              </w:rPr>
              <w:t>12. 支持基于交换机单端口、聚合口、源目IP地址、MAC地址的ACL策略；</w:t>
            </w:r>
          </w:p>
          <w:p>
            <w:pPr>
              <w:pStyle w:val="13"/>
              <w:keepNext w:val="0"/>
              <w:keepLines w:val="0"/>
              <w:widowControl/>
              <w:suppressLineNumbers w:val="0"/>
              <w:spacing w:line="23" w:lineRule="atLeast"/>
              <w:ind w:left="420"/>
            </w:pPr>
            <w:r>
              <w:rPr>
                <w:rFonts w:hint="eastAsia" w:ascii="宋体" w:hAnsi="宋体" w:eastAsia="宋体" w:cs="宋体"/>
                <w:color w:val="393939"/>
                <w:sz w:val="19"/>
                <w:szCs w:val="19"/>
              </w:rPr>
              <w:t>13. 支持基于协议（例如：OSPF、UDP、ARP），同时支持自定义协议号的ACL策略；</w:t>
            </w:r>
          </w:p>
          <w:p>
            <w:pPr>
              <w:pStyle w:val="13"/>
              <w:keepNext w:val="0"/>
              <w:keepLines w:val="0"/>
              <w:widowControl/>
              <w:suppressLineNumbers w:val="0"/>
              <w:spacing w:line="23" w:lineRule="atLeast"/>
              <w:ind w:left="420"/>
            </w:pPr>
            <w:r>
              <w:rPr>
                <w:rFonts w:hint="eastAsia" w:ascii="宋体" w:hAnsi="宋体" w:eastAsia="宋体" w:cs="宋体"/>
                <w:color w:val="393939"/>
                <w:sz w:val="19"/>
                <w:szCs w:val="19"/>
              </w:rPr>
              <w:t>14. 支持基于时间的ACL策略；</w:t>
            </w:r>
          </w:p>
          <w:p>
            <w:pPr>
              <w:pStyle w:val="13"/>
              <w:keepNext w:val="0"/>
              <w:keepLines w:val="0"/>
              <w:widowControl/>
              <w:suppressLineNumbers w:val="0"/>
              <w:spacing w:line="23" w:lineRule="atLeast"/>
              <w:ind w:left="420"/>
            </w:pPr>
            <w:r>
              <w:rPr>
                <w:rFonts w:hint="eastAsia" w:ascii="宋体" w:hAnsi="宋体" w:eastAsia="宋体" w:cs="宋体"/>
                <w:color w:val="393939"/>
                <w:sz w:val="19"/>
                <w:szCs w:val="19"/>
              </w:rPr>
              <w:t>15. 支持基于802.1p、IP及服务等级、DSCP的优先级设置；</w:t>
            </w:r>
          </w:p>
          <w:p>
            <w:pPr>
              <w:pStyle w:val="13"/>
              <w:keepNext w:val="0"/>
              <w:keepLines w:val="0"/>
              <w:widowControl/>
              <w:suppressLineNumbers w:val="0"/>
              <w:spacing w:line="23" w:lineRule="atLeast"/>
              <w:ind w:left="420"/>
            </w:pPr>
            <w:r>
              <w:rPr>
                <w:rFonts w:hint="eastAsia" w:ascii="宋体" w:hAnsi="宋体" w:eastAsia="宋体" w:cs="宋体"/>
                <w:color w:val="393939"/>
                <w:sz w:val="19"/>
                <w:szCs w:val="19"/>
              </w:rPr>
              <w:t>16. 支持端口聚合及手工、静态LACP；</w:t>
            </w:r>
          </w:p>
          <w:p>
            <w:pPr>
              <w:pStyle w:val="13"/>
              <w:keepNext w:val="0"/>
              <w:keepLines w:val="0"/>
              <w:widowControl/>
              <w:suppressLineNumbers w:val="0"/>
              <w:spacing w:line="23" w:lineRule="atLeast"/>
              <w:ind w:left="420"/>
            </w:pPr>
            <w:r>
              <w:rPr>
                <w:rFonts w:hint="eastAsia" w:ascii="宋体" w:hAnsi="宋体" w:eastAsia="宋体" w:cs="宋体"/>
                <w:color w:val="393939"/>
                <w:sz w:val="19"/>
                <w:szCs w:val="19"/>
              </w:rPr>
              <w:t>17. 支持M-LAG技术实现跨设备链路聚合（非堆叠技术实现），要求配对的设备有独立的控制平面；（提供官网截图及链接证明）</w:t>
            </w:r>
          </w:p>
        </w:tc>
        <w:tc>
          <w:tcPr>
            <w:tcW w:w="855"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345" w:lineRule="atLeast"/>
            </w:pPr>
            <w:r>
              <w:rPr>
                <w:rFonts w:hint="eastAsia" w:ascii="宋体" w:hAnsi="宋体" w:eastAsia="宋体" w:cs="宋体"/>
                <w:color w:val="393939"/>
                <w:sz w:val="19"/>
                <w:szCs w:val="19"/>
              </w:rPr>
              <w:t>4台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345" w:lineRule="atLeast"/>
              <w:jc w:val="center"/>
            </w:pPr>
            <w:r>
              <w:rPr>
                <w:rFonts w:hint="eastAsia" w:ascii="宋体" w:hAnsi="宋体" w:eastAsia="宋体" w:cs="宋体"/>
                <w:color w:val="393939"/>
                <w:sz w:val="19"/>
                <w:szCs w:val="19"/>
              </w:rPr>
              <w:t>8</w:t>
            </w:r>
          </w:p>
        </w:tc>
        <w:tc>
          <w:tcPr>
            <w:tcW w:w="990"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345" w:lineRule="atLeast"/>
            </w:pPr>
            <w:r>
              <w:rPr>
                <w:rFonts w:hint="eastAsia" w:ascii="宋体" w:hAnsi="宋体" w:eastAsia="宋体" w:cs="宋体"/>
                <w:color w:val="393939"/>
                <w:sz w:val="19"/>
                <w:szCs w:val="19"/>
              </w:rPr>
              <w:t>服务器交换机</w:t>
            </w:r>
          </w:p>
        </w:tc>
        <w:tc>
          <w:tcPr>
            <w:tcW w:w="6660"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23" w:lineRule="atLeast"/>
              <w:ind w:left="420"/>
            </w:pPr>
            <w:r>
              <w:rPr>
                <w:rFonts w:hint="eastAsia" w:ascii="宋体" w:hAnsi="宋体" w:eastAsia="宋体" w:cs="宋体"/>
                <w:color w:val="393939"/>
                <w:sz w:val="19"/>
                <w:szCs w:val="19"/>
              </w:rPr>
              <w:t>1. 万兆SFP+光口≥15个，千兆电口≥8个，千兆光口≥1个，并需提供1个Console口，1个Manage口；</w:t>
            </w:r>
          </w:p>
          <w:p>
            <w:pPr>
              <w:pStyle w:val="13"/>
              <w:keepNext w:val="0"/>
              <w:keepLines w:val="0"/>
              <w:widowControl/>
              <w:suppressLineNumbers w:val="0"/>
              <w:spacing w:line="23" w:lineRule="atLeast"/>
              <w:ind w:left="420"/>
            </w:pPr>
            <w:r>
              <w:rPr>
                <w:rFonts w:hint="eastAsia" w:ascii="宋体" w:hAnsi="宋体" w:eastAsia="宋体" w:cs="宋体"/>
                <w:color w:val="393939"/>
                <w:sz w:val="19"/>
                <w:szCs w:val="19"/>
              </w:rPr>
              <w:t>2. 支持双交流电源1+1冗余（非热插拔）</w:t>
            </w:r>
          </w:p>
          <w:p>
            <w:pPr>
              <w:pStyle w:val="13"/>
              <w:keepNext w:val="0"/>
              <w:keepLines w:val="0"/>
              <w:widowControl/>
              <w:suppressLineNumbers w:val="0"/>
              <w:spacing w:line="23" w:lineRule="atLeast"/>
              <w:ind w:left="420"/>
            </w:pPr>
            <w:r>
              <w:rPr>
                <w:rFonts w:hint="eastAsia" w:ascii="宋体" w:hAnsi="宋体" w:eastAsia="宋体" w:cs="宋体"/>
                <w:color w:val="393939"/>
                <w:sz w:val="19"/>
                <w:szCs w:val="19"/>
              </w:rPr>
              <w:t>3. 交换容量≥1.28Tbps，包转发率≥420Mpps；</w:t>
            </w:r>
          </w:p>
          <w:p>
            <w:pPr>
              <w:pStyle w:val="13"/>
              <w:keepNext w:val="0"/>
              <w:keepLines w:val="0"/>
              <w:widowControl/>
              <w:suppressLineNumbers w:val="0"/>
              <w:spacing w:line="23" w:lineRule="atLeast"/>
              <w:ind w:left="420"/>
            </w:pPr>
            <w:r>
              <w:rPr>
                <w:rFonts w:hint="eastAsia" w:ascii="宋体" w:hAnsi="宋体" w:eastAsia="宋体" w:cs="宋体"/>
                <w:color w:val="393939"/>
                <w:sz w:val="19"/>
                <w:szCs w:val="19"/>
              </w:rPr>
              <w:t>4. 支持胖瘦一体化，可支持搭配控制器平台灵活切换智能交换机和普通交换机两种工作模式；</w:t>
            </w:r>
          </w:p>
          <w:p>
            <w:pPr>
              <w:pStyle w:val="13"/>
              <w:keepNext w:val="0"/>
              <w:keepLines w:val="0"/>
              <w:widowControl/>
              <w:suppressLineNumbers w:val="0"/>
              <w:spacing w:line="23" w:lineRule="atLeast"/>
              <w:ind w:left="420"/>
            </w:pPr>
            <w:r>
              <w:rPr>
                <w:rFonts w:hint="eastAsia" w:ascii="宋体" w:hAnsi="宋体" w:eastAsia="宋体" w:cs="宋体"/>
                <w:color w:val="393939"/>
                <w:sz w:val="19"/>
                <w:szCs w:val="19"/>
              </w:rPr>
              <w:t>5. 支持通过静态IP地址、DHCP Option43、DNS域名等多种方式发现控制器管理平台；（提供后台功能截图证明）</w:t>
            </w:r>
          </w:p>
          <w:p>
            <w:pPr>
              <w:pStyle w:val="13"/>
              <w:keepNext w:val="0"/>
              <w:keepLines w:val="0"/>
              <w:widowControl/>
              <w:suppressLineNumbers w:val="0"/>
              <w:spacing w:line="23" w:lineRule="atLeast"/>
              <w:ind w:left="420"/>
            </w:pPr>
            <w:r>
              <w:rPr>
                <w:rFonts w:hint="eastAsia" w:ascii="宋体" w:hAnsi="宋体" w:eastAsia="宋体" w:cs="宋体"/>
                <w:color w:val="393939"/>
                <w:sz w:val="19"/>
                <w:szCs w:val="19"/>
              </w:rPr>
              <w:t>6. 支持搭配控制器平台“一键替换”按钮即可完成故障设备替换（提供后台功能截图证明）；</w:t>
            </w:r>
          </w:p>
          <w:p>
            <w:pPr>
              <w:pStyle w:val="13"/>
              <w:keepNext w:val="0"/>
              <w:keepLines w:val="0"/>
              <w:widowControl/>
              <w:suppressLineNumbers w:val="0"/>
              <w:spacing w:line="23" w:lineRule="atLeast"/>
              <w:ind w:left="420"/>
            </w:pPr>
            <w:r>
              <w:rPr>
                <w:rFonts w:hint="eastAsia" w:ascii="宋体" w:hAnsi="宋体" w:eastAsia="宋体" w:cs="宋体"/>
                <w:color w:val="393939"/>
                <w:sz w:val="19"/>
                <w:szCs w:val="19"/>
              </w:rPr>
              <w:t>7. 支持搭配控制器平台实现基于网络特征报文自动识别PC、路由器、监控、打印机终端设备等（提供后台功能截图证明）；</w:t>
            </w:r>
          </w:p>
          <w:p>
            <w:pPr>
              <w:pStyle w:val="13"/>
              <w:keepNext w:val="0"/>
              <w:keepLines w:val="0"/>
              <w:widowControl/>
              <w:suppressLineNumbers w:val="0"/>
              <w:spacing w:line="23" w:lineRule="atLeast"/>
              <w:ind w:left="420"/>
            </w:pPr>
            <w:r>
              <w:rPr>
                <w:rFonts w:hint="eastAsia" w:ascii="宋体" w:hAnsi="宋体" w:eastAsia="宋体" w:cs="宋体"/>
                <w:color w:val="393939"/>
                <w:sz w:val="19"/>
                <w:szCs w:val="19"/>
              </w:rPr>
              <w:t>8. 支持IEEE 802.3az 标准的 EEE节能技术：当EEE使能时，从而大幅度的减小端口在该阶段的功耗，达到了节能的目的；</w:t>
            </w:r>
          </w:p>
          <w:p>
            <w:pPr>
              <w:pStyle w:val="13"/>
              <w:keepNext w:val="0"/>
              <w:keepLines w:val="0"/>
              <w:widowControl/>
              <w:suppressLineNumbers w:val="0"/>
              <w:spacing w:line="23" w:lineRule="atLeast"/>
              <w:ind w:left="420"/>
            </w:pPr>
            <w:r>
              <w:rPr>
                <w:rFonts w:hint="eastAsia" w:ascii="宋体" w:hAnsi="宋体" w:eastAsia="宋体" w:cs="宋体"/>
                <w:color w:val="393939"/>
                <w:sz w:val="19"/>
                <w:szCs w:val="19"/>
              </w:rPr>
              <w:t>9. 支持STP、RSTP、MSTP协议</w:t>
            </w:r>
          </w:p>
          <w:p>
            <w:pPr>
              <w:pStyle w:val="13"/>
              <w:keepNext w:val="0"/>
              <w:keepLines w:val="0"/>
              <w:widowControl/>
              <w:suppressLineNumbers w:val="0"/>
              <w:spacing w:line="23" w:lineRule="atLeast"/>
              <w:ind w:left="420"/>
            </w:pPr>
            <w:r>
              <w:rPr>
                <w:rFonts w:hint="eastAsia" w:ascii="宋体" w:hAnsi="宋体" w:eastAsia="宋体" w:cs="宋体"/>
                <w:color w:val="393939"/>
                <w:sz w:val="19"/>
                <w:szCs w:val="19"/>
              </w:rPr>
              <w:t>10. 支持IGMP v1/v2/v3 Snooping</w:t>
            </w:r>
          </w:p>
          <w:p>
            <w:pPr>
              <w:pStyle w:val="13"/>
              <w:keepNext w:val="0"/>
              <w:keepLines w:val="0"/>
              <w:widowControl/>
              <w:suppressLineNumbers w:val="0"/>
              <w:spacing w:line="23" w:lineRule="atLeast"/>
              <w:ind w:left="420"/>
            </w:pPr>
            <w:r>
              <w:rPr>
                <w:rFonts w:hint="eastAsia" w:ascii="宋体" w:hAnsi="宋体" w:eastAsia="宋体" w:cs="宋体"/>
                <w:color w:val="393939"/>
                <w:sz w:val="19"/>
                <w:szCs w:val="19"/>
              </w:rPr>
              <w:t>11. 支持DHCP Server</w:t>
            </w:r>
          </w:p>
          <w:p>
            <w:pPr>
              <w:pStyle w:val="13"/>
              <w:keepNext w:val="0"/>
              <w:keepLines w:val="0"/>
              <w:widowControl/>
              <w:suppressLineNumbers w:val="0"/>
              <w:spacing w:line="23" w:lineRule="atLeast"/>
              <w:ind w:left="420"/>
            </w:pPr>
            <w:r>
              <w:rPr>
                <w:rFonts w:hint="eastAsia" w:ascii="宋体" w:hAnsi="宋体" w:eastAsia="宋体" w:cs="宋体"/>
                <w:color w:val="393939"/>
                <w:sz w:val="19"/>
                <w:szCs w:val="19"/>
              </w:rPr>
              <w:t>12. 支持基于交换机单端口、聚合口、源目IP地址、MAC地址的ACL策略；</w:t>
            </w:r>
          </w:p>
          <w:p>
            <w:pPr>
              <w:pStyle w:val="13"/>
              <w:keepNext w:val="0"/>
              <w:keepLines w:val="0"/>
              <w:widowControl/>
              <w:suppressLineNumbers w:val="0"/>
              <w:spacing w:line="23" w:lineRule="atLeast"/>
              <w:ind w:left="420"/>
            </w:pPr>
            <w:r>
              <w:rPr>
                <w:rFonts w:hint="eastAsia" w:ascii="宋体" w:hAnsi="宋体" w:eastAsia="宋体" w:cs="宋体"/>
                <w:color w:val="393939"/>
                <w:sz w:val="19"/>
                <w:szCs w:val="19"/>
              </w:rPr>
              <w:t>13. 支持基于协议（例如：OSPF、UDP、ARP），同时支持自定义协议号的ACL策略；</w:t>
            </w:r>
          </w:p>
          <w:p>
            <w:pPr>
              <w:pStyle w:val="13"/>
              <w:keepNext w:val="0"/>
              <w:keepLines w:val="0"/>
              <w:widowControl/>
              <w:suppressLineNumbers w:val="0"/>
              <w:spacing w:line="23" w:lineRule="atLeast"/>
              <w:ind w:left="420"/>
            </w:pPr>
            <w:r>
              <w:rPr>
                <w:rFonts w:hint="eastAsia" w:ascii="宋体" w:hAnsi="宋体" w:eastAsia="宋体" w:cs="宋体"/>
                <w:color w:val="393939"/>
                <w:sz w:val="19"/>
                <w:szCs w:val="19"/>
              </w:rPr>
              <w:t>14. 支持基于时间的ACL策略；</w:t>
            </w:r>
          </w:p>
          <w:p>
            <w:pPr>
              <w:pStyle w:val="13"/>
              <w:keepNext w:val="0"/>
              <w:keepLines w:val="0"/>
              <w:widowControl/>
              <w:suppressLineNumbers w:val="0"/>
              <w:spacing w:line="23" w:lineRule="atLeast"/>
              <w:ind w:left="420"/>
            </w:pPr>
            <w:r>
              <w:rPr>
                <w:rFonts w:hint="eastAsia" w:ascii="宋体" w:hAnsi="宋体" w:eastAsia="宋体" w:cs="宋体"/>
                <w:color w:val="393939"/>
                <w:sz w:val="19"/>
                <w:szCs w:val="19"/>
              </w:rPr>
              <w:t>15. 支持基于802.1p、IP及服务等级、DSCP的优先级设置；</w:t>
            </w:r>
          </w:p>
          <w:p>
            <w:pPr>
              <w:pStyle w:val="13"/>
              <w:keepNext w:val="0"/>
              <w:keepLines w:val="0"/>
              <w:widowControl/>
              <w:suppressLineNumbers w:val="0"/>
              <w:spacing w:line="23" w:lineRule="atLeast"/>
              <w:ind w:left="420"/>
            </w:pPr>
            <w:r>
              <w:rPr>
                <w:rFonts w:hint="eastAsia" w:ascii="宋体" w:hAnsi="宋体" w:eastAsia="宋体" w:cs="宋体"/>
                <w:color w:val="393939"/>
                <w:sz w:val="19"/>
                <w:szCs w:val="19"/>
              </w:rPr>
              <w:t>16. 支持端口聚合及手工、静态LACP；</w:t>
            </w:r>
          </w:p>
          <w:p>
            <w:pPr>
              <w:pStyle w:val="13"/>
              <w:keepNext w:val="0"/>
              <w:keepLines w:val="0"/>
              <w:widowControl/>
              <w:suppressLineNumbers w:val="0"/>
              <w:spacing w:line="23" w:lineRule="atLeast"/>
              <w:ind w:left="420"/>
            </w:pPr>
            <w:r>
              <w:rPr>
                <w:rFonts w:hint="eastAsia" w:ascii="宋体" w:hAnsi="宋体" w:eastAsia="宋体" w:cs="宋体"/>
                <w:color w:val="393939"/>
                <w:sz w:val="19"/>
                <w:szCs w:val="19"/>
              </w:rPr>
              <w:t>17. 支持M-LAG技术实现跨设备链路聚合（非堆叠技术实现），要求配对的设备有独立的控制平面；</w:t>
            </w:r>
          </w:p>
        </w:tc>
        <w:tc>
          <w:tcPr>
            <w:tcW w:w="855"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345" w:lineRule="atLeast"/>
            </w:pPr>
            <w:r>
              <w:rPr>
                <w:rFonts w:hint="eastAsia" w:ascii="宋体" w:hAnsi="宋体" w:eastAsia="宋体" w:cs="宋体"/>
                <w:color w:val="393939"/>
                <w:sz w:val="19"/>
                <w:szCs w:val="19"/>
              </w:rPr>
              <w:t>2台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345" w:lineRule="atLeast"/>
              <w:jc w:val="center"/>
            </w:pPr>
            <w:r>
              <w:rPr>
                <w:rFonts w:hint="eastAsia" w:ascii="宋体" w:hAnsi="宋体" w:eastAsia="宋体" w:cs="宋体"/>
                <w:color w:val="393939"/>
                <w:sz w:val="19"/>
                <w:szCs w:val="19"/>
              </w:rPr>
              <w:t>9</w:t>
            </w:r>
          </w:p>
        </w:tc>
        <w:tc>
          <w:tcPr>
            <w:tcW w:w="990"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345" w:lineRule="atLeast"/>
            </w:pPr>
            <w:r>
              <w:rPr>
                <w:rFonts w:hint="eastAsia" w:ascii="宋体" w:hAnsi="宋体" w:eastAsia="宋体" w:cs="宋体"/>
                <w:color w:val="393939"/>
                <w:sz w:val="19"/>
                <w:szCs w:val="19"/>
              </w:rPr>
              <w:t>光纤模块</w:t>
            </w:r>
          </w:p>
        </w:tc>
        <w:tc>
          <w:tcPr>
            <w:tcW w:w="6660"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495" w:lineRule="atLeast"/>
            </w:pPr>
            <w:r>
              <w:rPr>
                <w:rFonts w:hint="eastAsia" w:ascii="宋体" w:hAnsi="宋体" w:eastAsia="宋体" w:cs="宋体"/>
                <w:color w:val="393939"/>
                <w:sz w:val="19"/>
                <w:szCs w:val="19"/>
              </w:rPr>
              <w:t>SFP 千兆单模光模块，单模，1310nm，最大传输距离 10km，接头类型：LC</w:t>
            </w:r>
          </w:p>
        </w:tc>
        <w:tc>
          <w:tcPr>
            <w:tcW w:w="855"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345" w:lineRule="atLeast"/>
            </w:pPr>
            <w:r>
              <w:rPr>
                <w:rFonts w:hint="eastAsia" w:ascii="宋体" w:hAnsi="宋体" w:eastAsia="宋体" w:cs="宋体"/>
                <w:color w:val="393939"/>
                <w:sz w:val="19"/>
                <w:szCs w:val="19"/>
              </w:rPr>
              <w:t>8个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345" w:lineRule="atLeast"/>
              <w:jc w:val="center"/>
            </w:pPr>
            <w:r>
              <w:rPr>
                <w:rFonts w:hint="eastAsia" w:ascii="宋体" w:hAnsi="宋体" w:eastAsia="宋体" w:cs="宋体"/>
                <w:color w:val="393939"/>
                <w:sz w:val="19"/>
                <w:szCs w:val="19"/>
              </w:rPr>
              <w:t>10</w:t>
            </w:r>
          </w:p>
        </w:tc>
        <w:tc>
          <w:tcPr>
            <w:tcW w:w="990"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345" w:lineRule="atLeast"/>
            </w:pPr>
            <w:r>
              <w:rPr>
                <w:rFonts w:hint="eastAsia" w:ascii="宋体" w:hAnsi="宋体" w:eastAsia="宋体" w:cs="宋体"/>
                <w:color w:val="393939"/>
                <w:sz w:val="19"/>
                <w:szCs w:val="19"/>
              </w:rPr>
              <w:t>光纤模块</w:t>
            </w:r>
          </w:p>
        </w:tc>
        <w:tc>
          <w:tcPr>
            <w:tcW w:w="6660"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495" w:lineRule="atLeast"/>
            </w:pPr>
            <w:r>
              <w:rPr>
                <w:rFonts w:hint="eastAsia" w:ascii="宋体" w:hAnsi="宋体" w:eastAsia="宋体" w:cs="宋体"/>
                <w:color w:val="393939"/>
                <w:sz w:val="19"/>
                <w:szCs w:val="19"/>
              </w:rPr>
              <w:t>SFP+ 万兆多模光模块，多模，850nm，最大传输距离 300m，接头类型：LC</w:t>
            </w:r>
          </w:p>
        </w:tc>
        <w:tc>
          <w:tcPr>
            <w:tcW w:w="855"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345" w:lineRule="atLeast"/>
            </w:pPr>
            <w:r>
              <w:rPr>
                <w:rFonts w:hint="eastAsia" w:ascii="宋体" w:hAnsi="宋体" w:eastAsia="宋体" w:cs="宋体"/>
                <w:color w:val="393939"/>
                <w:sz w:val="19"/>
                <w:szCs w:val="19"/>
              </w:rPr>
              <w:t>24个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345" w:lineRule="atLeast"/>
              <w:jc w:val="center"/>
            </w:pPr>
            <w:r>
              <w:rPr>
                <w:rFonts w:hint="eastAsia" w:ascii="宋体" w:hAnsi="宋体" w:eastAsia="宋体" w:cs="宋体"/>
                <w:color w:val="393939"/>
                <w:sz w:val="19"/>
                <w:szCs w:val="19"/>
              </w:rPr>
              <w:t>11</w:t>
            </w:r>
          </w:p>
        </w:tc>
        <w:tc>
          <w:tcPr>
            <w:tcW w:w="990"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345" w:lineRule="atLeast"/>
            </w:pPr>
            <w:r>
              <w:rPr>
                <w:rFonts w:hint="eastAsia" w:ascii="宋体" w:hAnsi="宋体" w:eastAsia="宋体" w:cs="宋体"/>
                <w:color w:val="393939"/>
                <w:sz w:val="19"/>
                <w:szCs w:val="19"/>
              </w:rPr>
              <w:t>交换机网管平台</w:t>
            </w:r>
          </w:p>
        </w:tc>
        <w:tc>
          <w:tcPr>
            <w:tcW w:w="6660"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23" w:lineRule="atLeast"/>
              <w:ind w:left="420"/>
            </w:pPr>
            <w:r>
              <w:rPr>
                <w:rFonts w:hint="eastAsia" w:ascii="宋体" w:hAnsi="宋体" w:eastAsia="宋体" w:cs="宋体"/>
                <w:color w:val="393939"/>
                <w:sz w:val="19"/>
                <w:szCs w:val="19"/>
              </w:rPr>
              <w:t>1. 千兆以太网口数≥4个；并需提供1个RJ-45 Console管理口，提供USB接口数≥2，用于外接硬件设备</w:t>
            </w:r>
          </w:p>
          <w:p>
            <w:pPr>
              <w:pStyle w:val="13"/>
              <w:keepNext w:val="0"/>
              <w:keepLines w:val="0"/>
              <w:widowControl/>
              <w:suppressLineNumbers w:val="0"/>
              <w:spacing w:line="23" w:lineRule="atLeast"/>
              <w:ind w:left="420"/>
            </w:pPr>
            <w:r>
              <w:rPr>
                <w:rFonts w:hint="eastAsia" w:ascii="宋体" w:hAnsi="宋体" w:eastAsia="宋体" w:cs="宋体"/>
                <w:color w:val="393939"/>
                <w:sz w:val="19"/>
                <w:szCs w:val="19"/>
              </w:rPr>
              <w:t>2. 内置硬盘，硬盘大小≥32GB</w:t>
            </w:r>
          </w:p>
          <w:p>
            <w:pPr>
              <w:pStyle w:val="13"/>
              <w:keepNext w:val="0"/>
              <w:keepLines w:val="0"/>
              <w:widowControl/>
              <w:suppressLineNumbers w:val="0"/>
              <w:spacing w:line="23" w:lineRule="atLeast"/>
              <w:ind w:left="420"/>
            </w:pPr>
            <w:r>
              <w:rPr>
                <w:rFonts w:hint="eastAsia" w:ascii="宋体" w:hAnsi="宋体" w:eastAsia="宋体" w:cs="宋体"/>
                <w:color w:val="393939"/>
                <w:sz w:val="19"/>
                <w:szCs w:val="19"/>
              </w:rPr>
              <w:t>3. 支持802.11a、802.11b、802.11g、802.11n、802.11ac、802.11ac wave2、802.11e、802.11h、802.11k、802.11v等协议</w:t>
            </w:r>
          </w:p>
          <w:p>
            <w:pPr>
              <w:pStyle w:val="13"/>
              <w:keepNext w:val="0"/>
              <w:keepLines w:val="0"/>
              <w:widowControl/>
              <w:suppressLineNumbers w:val="0"/>
              <w:spacing w:line="23" w:lineRule="atLeast"/>
              <w:ind w:left="420"/>
            </w:pPr>
            <w:r>
              <w:rPr>
                <w:rFonts w:hint="eastAsia" w:ascii="宋体" w:hAnsi="宋体" w:eastAsia="宋体" w:cs="宋体"/>
                <w:color w:val="393939"/>
                <w:sz w:val="19"/>
                <w:szCs w:val="19"/>
              </w:rPr>
              <w:t>4. 可实现对同品 牌智能交换机的统一配置管理，可实现对交换机端口状态查看、VLAN配置、IP分配、链路聚合、防环配置、POE交换机的供电策略配置等；</w:t>
            </w:r>
          </w:p>
          <w:p>
            <w:pPr>
              <w:pStyle w:val="13"/>
              <w:keepNext w:val="0"/>
              <w:keepLines w:val="0"/>
              <w:widowControl/>
              <w:suppressLineNumbers w:val="0"/>
              <w:spacing w:line="23" w:lineRule="atLeast"/>
              <w:ind w:left="420"/>
            </w:pPr>
            <w:r>
              <w:rPr>
                <w:rFonts w:hint="eastAsia" w:ascii="宋体" w:hAnsi="宋体" w:eastAsia="宋体" w:cs="宋体"/>
                <w:color w:val="393939"/>
                <w:sz w:val="19"/>
                <w:szCs w:val="19"/>
              </w:rPr>
              <w:t>5. 实现对同品 牌智能交换机接入终端的安全事件分析，包括接入终端数、终端类型、终端分布、端口迁移次数等；</w:t>
            </w:r>
          </w:p>
          <w:p>
            <w:pPr>
              <w:pStyle w:val="13"/>
              <w:keepNext w:val="0"/>
              <w:keepLines w:val="0"/>
              <w:widowControl/>
              <w:suppressLineNumbers w:val="0"/>
              <w:spacing w:line="23" w:lineRule="atLeast"/>
              <w:ind w:left="420"/>
            </w:pPr>
            <w:r>
              <w:rPr>
                <w:rFonts w:hint="eastAsia" w:ascii="宋体" w:hAnsi="宋体" w:eastAsia="宋体" w:cs="宋体"/>
                <w:color w:val="393939"/>
                <w:sz w:val="19"/>
                <w:szCs w:val="19"/>
              </w:rPr>
              <w:t>6. 支持对有线无线终端的统一认证管理，包括802.1x、Portal、MAC地址认证、CA证书认证、WAPI、802.1X WEP等内部认证，以及二维码审核认证、短信认证、微信认证、APP认证、临时访客账号等访客认证等所有的认证方式；</w:t>
            </w:r>
          </w:p>
          <w:p>
            <w:pPr>
              <w:pStyle w:val="13"/>
              <w:keepNext w:val="0"/>
              <w:keepLines w:val="0"/>
              <w:widowControl/>
              <w:suppressLineNumbers w:val="0"/>
              <w:spacing w:line="23" w:lineRule="atLeast"/>
              <w:ind w:left="420"/>
            </w:pPr>
            <w:r>
              <w:rPr>
                <w:rFonts w:hint="eastAsia" w:ascii="宋体" w:hAnsi="宋体" w:eastAsia="宋体" w:cs="宋体"/>
                <w:color w:val="393939"/>
                <w:sz w:val="19"/>
                <w:szCs w:val="19"/>
              </w:rPr>
              <w:t>7. 支持对接思科、Aruba、Ruckus、华为、华三、锐捷等厂家AC、AP设备实现统一Portal/Web和802.1X认证，包括微信认证、短信认证、二维码审核、802.1X、Web账号密码认证（提供后台功能截图证明）</w:t>
            </w:r>
          </w:p>
          <w:p>
            <w:pPr>
              <w:pStyle w:val="13"/>
              <w:keepNext w:val="0"/>
              <w:keepLines w:val="0"/>
              <w:widowControl/>
              <w:suppressLineNumbers w:val="0"/>
              <w:spacing w:line="23" w:lineRule="atLeast"/>
              <w:ind w:left="420"/>
            </w:pPr>
            <w:r>
              <w:rPr>
                <w:rFonts w:hint="eastAsia" w:ascii="宋体" w:hAnsi="宋体" w:eastAsia="宋体" w:cs="宋体"/>
                <w:color w:val="393939"/>
                <w:sz w:val="19"/>
                <w:szCs w:val="19"/>
              </w:rPr>
              <w:t>8. 支持同品 牌交换机通过静态IP地址、DHCP Option43、DNS域名等多种方式发现管理平台；（提供后台功能截图证明）</w:t>
            </w:r>
          </w:p>
          <w:p>
            <w:pPr>
              <w:pStyle w:val="13"/>
              <w:keepNext w:val="0"/>
              <w:keepLines w:val="0"/>
              <w:widowControl/>
              <w:suppressLineNumbers w:val="0"/>
              <w:spacing w:line="23" w:lineRule="atLeast"/>
              <w:ind w:left="420"/>
            </w:pPr>
            <w:r>
              <w:rPr>
                <w:rFonts w:hint="eastAsia" w:ascii="宋体" w:hAnsi="宋体" w:eastAsia="宋体" w:cs="宋体"/>
                <w:color w:val="393939"/>
                <w:sz w:val="19"/>
                <w:szCs w:val="19"/>
              </w:rPr>
              <w:t>9. 支持同品 牌通过“一键替换”按钮即可完成故障设备替换（提供后台功能截图证明）；</w:t>
            </w:r>
          </w:p>
          <w:p>
            <w:pPr>
              <w:pStyle w:val="13"/>
              <w:keepNext w:val="0"/>
              <w:keepLines w:val="0"/>
              <w:widowControl/>
              <w:suppressLineNumbers w:val="0"/>
              <w:spacing w:line="23" w:lineRule="atLeast"/>
              <w:ind w:left="420"/>
            </w:pPr>
            <w:r>
              <w:rPr>
                <w:rFonts w:hint="eastAsia" w:ascii="宋体" w:hAnsi="宋体" w:eastAsia="宋体" w:cs="宋体"/>
                <w:color w:val="393939"/>
                <w:sz w:val="19"/>
                <w:szCs w:val="19"/>
              </w:rPr>
              <w:t>10. 支持通过网管平台跨广域网、NAT远程管理智能交换机；</w:t>
            </w:r>
          </w:p>
          <w:p>
            <w:pPr>
              <w:pStyle w:val="13"/>
              <w:keepNext w:val="0"/>
              <w:keepLines w:val="0"/>
              <w:widowControl/>
              <w:suppressLineNumbers w:val="0"/>
              <w:spacing w:line="23" w:lineRule="atLeast"/>
              <w:ind w:left="420"/>
            </w:pPr>
            <w:r>
              <w:rPr>
                <w:rFonts w:hint="eastAsia" w:ascii="宋体" w:hAnsi="宋体" w:eastAsia="宋体" w:cs="宋体"/>
                <w:color w:val="393939"/>
                <w:sz w:val="19"/>
                <w:szCs w:val="19"/>
              </w:rPr>
              <w:t>11. 支持终端类型库，基于网络特征报文自动识别PC、路由器、监控终端设备等（提供后台功能截图证明）；</w:t>
            </w:r>
          </w:p>
          <w:p>
            <w:pPr>
              <w:pStyle w:val="13"/>
              <w:keepNext w:val="0"/>
              <w:keepLines w:val="0"/>
              <w:widowControl/>
              <w:suppressLineNumbers w:val="0"/>
              <w:spacing w:line="23" w:lineRule="atLeast"/>
              <w:ind w:left="420"/>
            </w:pPr>
            <w:r>
              <w:rPr>
                <w:rFonts w:hint="eastAsia" w:ascii="宋体" w:hAnsi="宋体" w:eastAsia="宋体" w:cs="宋体"/>
                <w:color w:val="393939"/>
                <w:sz w:val="19"/>
                <w:szCs w:val="19"/>
              </w:rPr>
              <w:t>12. 支持基于终端类型自动识别结果，禁止非法终端(例如私接路由器)接入</w:t>
            </w:r>
          </w:p>
          <w:p>
            <w:pPr>
              <w:pStyle w:val="13"/>
              <w:keepNext w:val="0"/>
              <w:keepLines w:val="0"/>
              <w:widowControl/>
              <w:suppressLineNumbers w:val="0"/>
              <w:spacing w:line="23" w:lineRule="atLeast"/>
              <w:ind w:left="420"/>
            </w:pPr>
            <w:r>
              <w:rPr>
                <w:rFonts w:hint="eastAsia" w:ascii="宋体" w:hAnsi="宋体" w:eastAsia="宋体" w:cs="宋体"/>
                <w:color w:val="393939"/>
                <w:sz w:val="19"/>
                <w:szCs w:val="19"/>
              </w:rPr>
              <w:t>13. 支持第三方系统下发的冻结风险终端的请求，对风险终端进行冻结</w:t>
            </w:r>
          </w:p>
          <w:p>
            <w:pPr>
              <w:pStyle w:val="13"/>
              <w:keepNext w:val="0"/>
              <w:keepLines w:val="0"/>
              <w:widowControl/>
              <w:suppressLineNumbers w:val="0"/>
              <w:spacing w:line="23" w:lineRule="atLeast"/>
              <w:ind w:left="420"/>
            </w:pPr>
            <w:r>
              <w:rPr>
                <w:rFonts w:hint="eastAsia" w:ascii="宋体" w:hAnsi="宋体" w:eastAsia="宋体" w:cs="宋体"/>
                <w:color w:val="393939"/>
                <w:sz w:val="19"/>
                <w:szCs w:val="19"/>
              </w:rPr>
              <w:t>14. 支持安全日志显示对应安全事件，包括钓鱼AP攻击、DDOS攻击、爆破攻击、IP冲突、ARP扫描攻击等；</w:t>
            </w:r>
          </w:p>
          <w:p>
            <w:pPr>
              <w:pStyle w:val="13"/>
              <w:keepNext w:val="0"/>
              <w:keepLines w:val="0"/>
              <w:widowControl/>
              <w:suppressLineNumbers w:val="0"/>
              <w:spacing w:line="23" w:lineRule="atLeast"/>
              <w:ind w:left="420"/>
            </w:pPr>
            <w:r>
              <w:rPr>
                <w:rFonts w:hint="eastAsia" w:ascii="宋体" w:hAnsi="宋体" w:eastAsia="宋体" w:cs="宋体"/>
                <w:color w:val="393939"/>
                <w:sz w:val="19"/>
                <w:szCs w:val="19"/>
              </w:rPr>
              <w:t>15. 支持终端IP-MAC绑定，当IP+MAC不对应时，可以将终端加入黑名单实现断开终端流量</w:t>
            </w:r>
          </w:p>
          <w:p>
            <w:pPr>
              <w:pStyle w:val="13"/>
              <w:keepNext w:val="0"/>
              <w:keepLines w:val="0"/>
              <w:widowControl/>
              <w:suppressLineNumbers w:val="0"/>
              <w:spacing w:line="23" w:lineRule="atLeast"/>
              <w:ind w:left="420"/>
            </w:pPr>
            <w:r>
              <w:rPr>
                <w:rFonts w:hint="eastAsia" w:ascii="宋体" w:hAnsi="宋体" w:eastAsia="宋体" w:cs="宋体"/>
                <w:color w:val="393939"/>
                <w:sz w:val="19"/>
                <w:szCs w:val="19"/>
              </w:rPr>
              <w:t>16. 支持将交换机的端口进行端口组划分，方便配置管理；</w:t>
            </w:r>
          </w:p>
          <w:p>
            <w:pPr>
              <w:pStyle w:val="13"/>
              <w:keepNext w:val="0"/>
              <w:keepLines w:val="0"/>
              <w:widowControl/>
              <w:suppressLineNumbers w:val="0"/>
              <w:spacing w:line="23" w:lineRule="atLeast"/>
              <w:ind w:left="420"/>
            </w:pPr>
            <w:r>
              <w:rPr>
                <w:rFonts w:hint="eastAsia" w:ascii="宋体" w:hAnsi="宋体" w:eastAsia="宋体" w:cs="宋体"/>
                <w:color w:val="393939"/>
                <w:sz w:val="19"/>
                <w:szCs w:val="19"/>
              </w:rPr>
              <w:t>17. 支持预留的特权IP必须由管理员审批才可以使用，同时支持IP白名单免审批；</w:t>
            </w:r>
          </w:p>
          <w:p>
            <w:pPr>
              <w:pStyle w:val="13"/>
              <w:keepNext w:val="0"/>
              <w:keepLines w:val="0"/>
              <w:widowControl/>
              <w:suppressLineNumbers w:val="0"/>
              <w:spacing w:line="23" w:lineRule="atLeast"/>
              <w:ind w:left="420"/>
            </w:pPr>
            <w:r>
              <w:rPr>
                <w:rFonts w:hint="eastAsia" w:ascii="宋体" w:hAnsi="宋体" w:eastAsia="宋体" w:cs="宋体"/>
                <w:color w:val="393939"/>
                <w:sz w:val="19"/>
                <w:szCs w:val="19"/>
              </w:rPr>
              <w:t>18. 支持交换机端口终端类型变更后，通过APP、短信告警；</w:t>
            </w:r>
          </w:p>
          <w:p>
            <w:pPr>
              <w:pStyle w:val="13"/>
              <w:keepNext w:val="0"/>
              <w:keepLines w:val="0"/>
              <w:widowControl/>
              <w:suppressLineNumbers w:val="0"/>
              <w:spacing w:line="23" w:lineRule="atLeast"/>
              <w:ind w:left="420"/>
            </w:pPr>
            <w:r>
              <w:rPr>
                <w:rFonts w:hint="eastAsia" w:ascii="宋体" w:hAnsi="宋体" w:eastAsia="宋体" w:cs="宋体"/>
                <w:color w:val="393939"/>
                <w:sz w:val="19"/>
                <w:szCs w:val="19"/>
              </w:rPr>
              <w:t>19. 支持移动APP运维，通过手机APP即可进行网络状态查看、无线网络管理、交换机管理及配置等</w:t>
            </w:r>
          </w:p>
        </w:tc>
        <w:tc>
          <w:tcPr>
            <w:tcW w:w="855"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345" w:lineRule="atLeast"/>
            </w:pPr>
            <w:r>
              <w:rPr>
                <w:rFonts w:hint="eastAsia" w:ascii="宋体" w:hAnsi="宋体" w:eastAsia="宋体" w:cs="宋体"/>
                <w:color w:val="393939"/>
                <w:sz w:val="19"/>
                <w:szCs w:val="19"/>
              </w:rPr>
              <w:t>1套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345" w:lineRule="atLeast"/>
              <w:jc w:val="center"/>
            </w:pPr>
            <w:r>
              <w:rPr>
                <w:rFonts w:hint="eastAsia" w:ascii="宋体" w:hAnsi="宋体" w:eastAsia="宋体" w:cs="宋体"/>
                <w:color w:val="393939"/>
                <w:sz w:val="19"/>
                <w:szCs w:val="19"/>
              </w:rPr>
              <w:t>12</w:t>
            </w:r>
          </w:p>
        </w:tc>
        <w:tc>
          <w:tcPr>
            <w:tcW w:w="990"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345" w:lineRule="atLeast"/>
            </w:pPr>
            <w:r>
              <w:rPr>
                <w:rFonts w:hint="eastAsia" w:ascii="宋体" w:hAnsi="宋体" w:eastAsia="宋体" w:cs="宋体"/>
                <w:color w:val="393939"/>
                <w:sz w:val="19"/>
                <w:szCs w:val="19"/>
              </w:rPr>
              <w:t>电脑桌</w:t>
            </w:r>
          </w:p>
        </w:tc>
        <w:tc>
          <w:tcPr>
            <w:tcW w:w="6660"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23" w:lineRule="atLeast"/>
            </w:pPr>
            <w:r>
              <w:rPr>
                <w:rFonts w:hint="eastAsia" w:ascii="宋体" w:hAnsi="宋体" w:eastAsia="宋体" w:cs="宋体"/>
                <w:color w:val="393939"/>
                <w:sz w:val="22"/>
                <w:szCs w:val="22"/>
              </w:rPr>
              <w:t>60*1400*80定制，生态高密度板（</w:t>
            </w:r>
            <w:r>
              <w:rPr>
                <w:rFonts w:hint="default" w:ascii="Times New Roman" w:hAnsi="Times New Roman" w:eastAsia="宋体" w:cs="Times New Roman"/>
                <w:color w:val="393939"/>
                <w:sz w:val="22"/>
                <w:szCs w:val="22"/>
              </w:rPr>
              <w:t>18mm)</w:t>
            </w:r>
            <w:r>
              <w:rPr>
                <w:rFonts w:hint="default" w:ascii="Times New Roman" w:hAnsi="Times New Roman" w:eastAsia="微软雅黑" w:cs="Times New Roman"/>
                <w:color w:val="393939"/>
                <w:sz w:val="22"/>
                <w:szCs w:val="22"/>
              </w:rPr>
              <w:t>;</w:t>
            </w:r>
          </w:p>
          <w:p>
            <w:pPr>
              <w:pStyle w:val="13"/>
              <w:keepNext w:val="0"/>
              <w:keepLines w:val="0"/>
              <w:widowControl/>
              <w:suppressLineNumbers w:val="0"/>
              <w:spacing w:line="23" w:lineRule="atLeast"/>
            </w:pPr>
            <w:r>
              <w:rPr>
                <w:rFonts w:hint="eastAsia" w:ascii="宋体" w:hAnsi="宋体" w:eastAsia="宋体" w:cs="宋体"/>
                <w:color w:val="393939"/>
                <w:sz w:val="22"/>
                <w:szCs w:val="22"/>
              </w:rPr>
              <w:t>基材：优质生态板</w:t>
            </w:r>
            <w:r>
              <w:rPr>
                <w:rFonts w:hint="default" w:ascii="Times New Roman" w:hAnsi="Times New Roman" w:eastAsia="宋体" w:cs="Times New Roman"/>
                <w:color w:val="393939"/>
                <w:sz w:val="22"/>
                <w:szCs w:val="22"/>
              </w:rPr>
              <w:t>,</w:t>
            </w:r>
            <w:r>
              <w:rPr>
                <w:rFonts w:hint="eastAsia" w:ascii="宋体" w:hAnsi="宋体" w:eastAsia="宋体" w:cs="宋体"/>
                <w:color w:val="393939"/>
                <w:sz w:val="22"/>
                <w:szCs w:val="22"/>
              </w:rPr>
              <w:t>经特殊处理（可防酸，防腐，耐高温）游离甲醛释放量符合国家标准</w:t>
            </w:r>
            <w:r>
              <w:rPr>
                <w:rFonts w:hint="default" w:ascii="Times New Roman" w:hAnsi="Times New Roman" w:eastAsia="宋体" w:cs="Times New Roman"/>
                <w:color w:val="393939"/>
                <w:sz w:val="22"/>
                <w:szCs w:val="22"/>
              </w:rPr>
              <w:t>E1</w:t>
            </w:r>
            <w:r>
              <w:rPr>
                <w:rFonts w:hint="eastAsia" w:ascii="宋体" w:hAnsi="宋体" w:eastAsia="宋体" w:cs="宋体"/>
                <w:color w:val="393939"/>
                <w:sz w:val="22"/>
                <w:szCs w:val="22"/>
              </w:rPr>
              <w:t>级或更优</w:t>
            </w:r>
            <w:r>
              <w:rPr>
                <w:rFonts w:hint="default" w:ascii="Times New Roman" w:hAnsi="Times New Roman" w:eastAsia="宋体" w:cs="Times New Roman"/>
                <w:color w:val="393939"/>
                <w:sz w:val="22"/>
                <w:szCs w:val="22"/>
              </w:rPr>
              <w:t>,</w:t>
            </w:r>
            <w:r>
              <w:rPr>
                <w:rFonts w:hint="eastAsia" w:ascii="宋体" w:hAnsi="宋体" w:eastAsia="宋体" w:cs="宋体"/>
                <w:color w:val="393939"/>
                <w:sz w:val="22"/>
                <w:szCs w:val="22"/>
              </w:rPr>
              <w:t>板材颜色备有灰白、杏色、枫木色等十多种颜色选择；符合国标</w:t>
            </w:r>
            <w:r>
              <w:rPr>
                <w:rFonts w:hint="default" w:ascii="Times New Roman" w:hAnsi="Times New Roman" w:eastAsia="宋体" w:cs="Times New Roman"/>
                <w:color w:val="393939"/>
                <w:sz w:val="22"/>
                <w:szCs w:val="22"/>
              </w:rPr>
              <w:t>GB18580-2001</w:t>
            </w:r>
            <w:r>
              <w:rPr>
                <w:rFonts w:hint="eastAsia" w:ascii="宋体" w:hAnsi="宋体" w:eastAsia="宋体" w:cs="宋体"/>
                <w:color w:val="393939"/>
                <w:sz w:val="22"/>
                <w:szCs w:val="22"/>
              </w:rPr>
              <w:t>及</w:t>
            </w:r>
            <w:r>
              <w:rPr>
                <w:rFonts w:hint="default" w:ascii="Times New Roman" w:hAnsi="Times New Roman" w:eastAsia="宋体" w:cs="Times New Roman"/>
                <w:color w:val="393939"/>
                <w:sz w:val="22"/>
                <w:szCs w:val="22"/>
              </w:rPr>
              <w:t>GB/T7911-1999</w:t>
            </w:r>
            <w:r>
              <w:rPr>
                <w:rFonts w:hint="eastAsia" w:ascii="宋体" w:hAnsi="宋体" w:eastAsia="宋体" w:cs="宋体"/>
                <w:color w:val="393939"/>
                <w:sz w:val="22"/>
                <w:szCs w:val="22"/>
              </w:rPr>
              <w:t>的</w:t>
            </w:r>
            <w:r>
              <w:rPr>
                <w:rFonts w:hint="default" w:ascii="Times New Roman" w:hAnsi="Times New Roman" w:eastAsia="宋体" w:cs="Times New Roman"/>
                <w:color w:val="393939"/>
                <w:sz w:val="22"/>
                <w:szCs w:val="22"/>
              </w:rPr>
              <w:t>E1</w:t>
            </w:r>
            <w:r>
              <w:rPr>
                <w:rFonts w:hint="eastAsia" w:ascii="宋体" w:hAnsi="宋体" w:eastAsia="宋体" w:cs="宋体"/>
                <w:color w:val="393939"/>
                <w:sz w:val="22"/>
                <w:szCs w:val="22"/>
              </w:rPr>
              <w:t>级检验标准。封边：采用优质厚度为</w:t>
            </w:r>
            <w:r>
              <w:rPr>
                <w:rFonts w:hint="default" w:ascii="Times New Roman" w:hAnsi="Times New Roman" w:eastAsia="宋体" w:cs="Times New Roman"/>
                <w:color w:val="393939"/>
                <w:sz w:val="22"/>
                <w:szCs w:val="22"/>
              </w:rPr>
              <w:t>2.0mmPVC</w:t>
            </w:r>
            <w:r>
              <w:rPr>
                <w:rFonts w:hint="eastAsia" w:ascii="宋体" w:hAnsi="宋体" w:eastAsia="宋体" w:cs="宋体"/>
                <w:color w:val="393939"/>
                <w:sz w:val="22"/>
                <w:szCs w:val="22"/>
              </w:rPr>
              <w:t>塑料热溶固体胶高温固封，不易脱落；粘力强，密封性好，经久耐用。</w:t>
            </w:r>
          </w:p>
          <w:p>
            <w:pPr>
              <w:pStyle w:val="13"/>
              <w:keepNext w:val="0"/>
              <w:keepLines w:val="0"/>
              <w:widowControl/>
              <w:suppressLineNumbers w:val="0"/>
              <w:spacing w:line="23" w:lineRule="atLeast"/>
            </w:pPr>
            <w:r>
              <w:rPr>
                <w:rFonts w:hint="eastAsia" w:ascii="宋体" w:hAnsi="宋体" w:eastAsia="宋体" w:cs="宋体"/>
                <w:color w:val="393939"/>
                <w:sz w:val="22"/>
                <w:szCs w:val="22"/>
              </w:rPr>
              <w:t>配件：采用优质五金配件，全部防锈、防腐处理。</w:t>
            </w:r>
          </w:p>
        </w:tc>
        <w:tc>
          <w:tcPr>
            <w:tcW w:w="855"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345" w:lineRule="atLeast"/>
            </w:pPr>
            <w:r>
              <w:rPr>
                <w:rFonts w:hint="eastAsia" w:ascii="宋体" w:hAnsi="宋体" w:eastAsia="宋体" w:cs="宋体"/>
                <w:color w:val="393939"/>
                <w:sz w:val="19"/>
                <w:szCs w:val="19"/>
              </w:rPr>
              <w:t>184张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5"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345" w:lineRule="atLeast"/>
              <w:jc w:val="center"/>
            </w:pPr>
            <w:r>
              <w:rPr>
                <w:rFonts w:hint="eastAsia" w:ascii="宋体" w:hAnsi="宋体" w:eastAsia="宋体" w:cs="宋体"/>
                <w:color w:val="393939"/>
                <w:sz w:val="19"/>
                <w:szCs w:val="19"/>
              </w:rPr>
              <w:t>13</w:t>
            </w:r>
          </w:p>
        </w:tc>
        <w:tc>
          <w:tcPr>
            <w:tcW w:w="990"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345" w:lineRule="atLeast"/>
            </w:pPr>
            <w:r>
              <w:rPr>
                <w:rFonts w:hint="eastAsia" w:ascii="宋体" w:hAnsi="宋体" w:eastAsia="宋体" w:cs="宋体"/>
                <w:color w:val="393939"/>
                <w:sz w:val="19"/>
                <w:szCs w:val="19"/>
              </w:rPr>
              <w:t>电脑椅</w:t>
            </w:r>
          </w:p>
        </w:tc>
        <w:tc>
          <w:tcPr>
            <w:tcW w:w="6660"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23" w:lineRule="atLeast"/>
            </w:pPr>
            <w:r>
              <w:rPr>
                <w:rFonts w:hint="eastAsia" w:ascii="宋体" w:hAnsi="宋体" w:eastAsia="宋体" w:cs="宋体"/>
                <w:color w:val="393939"/>
                <w:sz w:val="22"/>
                <w:szCs w:val="22"/>
              </w:rPr>
              <w:t>铁皮小方凳：</w:t>
            </w:r>
            <w:r>
              <w:rPr>
                <w:rFonts w:hint="default" w:ascii="Times New Roman" w:hAnsi="Times New Roman" w:eastAsia="宋体" w:cs="Times New Roman"/>
                <w:color w:val="393939"/>
                <w:sz w:val="22"/>
                <w:szCs w:val="22"/>
              </w:rPr>
              <w:t>33cm*24cm*45cm</w:t>
            </w:r>
            <w:r>
              <w:rPr>
                <w:rFonts w:hint="eastAsia" w:ascii="宋体" w:hAnsi="宋体" w:eastAsia="宋体" w:cs="宋体"/>
                <w:color w:val="393939"/>
                <w:sz w:val="22"/>
                <w:szCs w:val="22"/>
              </w:rPr>
              <w:t>（±2%）；防静电胶皮；主支撑脚采用</w:t>
            </w:r>
            <w:r>
              <w:rPr>
                <w:rFonts w:hint="default" w:ascii="Times New Roman" w:hAnsi="Times New Roman" w:eastAsia="宋体" w:cs="Times New Roman"/>
                <w:color w:val="393939"/>
                <w:sz w:val="22"/>
                <w:szCs w:val="22"/>
              </w:rPr>
              <w:t>40mm*20mm</w:t>
            </w:r>
            <w:r>
              <w:rPr>
                <w:rFonts w:hint="eastAsia" w:ascii="宋体" w:hAnsi="宋体" w:eastAsia="宋体" w:cs="宋体"/>
                <w:color w:val="393939"/>
                <w:sz w:val="22"/>
                <w:szCs w:val="22"/>
              </w:rPr>
              <w:t>优质方管，拉挡为</w:t>
            </w:r>
            <w:r>
              <w:rPr>
                <w:rFonts w:hint="default" w:ascii="Times New Roman" w:hAnsi="Times New Roman" w:eastAsia="宋体" w:cs="Times New Roman"/>
                <w:color w:val="393939"/>
                <w:sz w:val="22"/>
                <w:szCs w:val="22"/>
              </w:rPr>
              <w:t>20mm*20mm</w:t>
            </w:r>
            <w:r>
              <w:rPr>
                <w:rFonts w:hint="eastAsia" w:ascii="宋体" w:hAnsi="宋体" w:eastAsia="宋体" w:cs="宋体"/>
                <w:color w:val="393939"/>
                <w:sz w:val="22"/>
                <w:szCs w:val="22"/>
              </w:rPr>
              <w:t>优质方管，管材表面流水线静电喷塑处理</w:t>
            </w:r>
          </w:p>
        </w:tc>
        <w:tc>
          <w:tcPr>
            <w:tcW w:w="855" w:type="dxa"/>
            <w:tcBorders>
              <w:top w:val="nil"/>
              <w:left w:val="nil"/>
              <w:bottom w:val="nil"/>
              <w:right w:val="nil"/>
            </w:tcBorders>
            <w:noWrap w:val="0"/>
            <w:tcMar>
              <w:top w:w="0" w:type="dxa"/>
              <w:left w:w="105" w:type="dxa"/>
              <w:bottom w:w="0" w:type="dxa"/>
              <w:right w:w="105" w:type="dxa"/>
            </w:tcMar>
            <w:vAlign w:val="center"/>
          </w:tcPr>
          <w:p>
            <w:pPr>
              <w:pStyle w:val="13"/>
              <w:keepNext w:val="0"/>
              <w:keepLines w:val="0"/>
              <w:widowControl/>
              <w:suppressLineNumbers w:val="0"/>
              <w:spacing w:line="345" w:lineRule="atLeast"/>
            </w:pPr>
            <w:r>
              <w:rPr>
                <w:rFonts w:hint="eastAsia" w:ascii="宋体" w:hAnsi="宋体" w:eastAsia="宋体" w:cs="宋体"/>
                <w:color w:val="393939"/>
                <w:sz w:val="19"/>
                <w:szCs w:val="19"/>
              </w:rPr>
              <w:t>368张</w:t>
            </w:r>
          </w:p>
        </w:tc>
      </w:tr>
    </w:tbl>
    <w:p>
      <w:pPr>
        <w:widowControl/>
        <w:spacing w:before="75" w:after="75" w:line="240" w:lineRule="atLeast"/>
        <w:jc w:val="left"/>
        <w:rPr>
          <w:rFonts w:ascii="宋体" w:hAnsi="宋体" w:eastAsia="宋体" w:cs="宋体"/>
          <w:kern w:val="0"/>
          <w:sz w:val="24"/>
          <w:szCs w:val="24"/>
        </w:rPr>
      </w:pPr>
      <w:r>
        <w:rPr>
          <w:rFonts w:ascii="宋体" w:hAnsi="宋体" w:eastAsia="宋体" w:cs="宋体"/>
          <w:kern w:val="0"/>
          <w:sz w:val="24"/>
          <w:szCs w:val="24"/>
        </w:rPr>
        <w:t>三、商务条件</w:t>
      </w:r>
      <w:r>
        <w:rPr>
          <w:rFonts w:ascii="宋体" w:hAnsi="宋体" w:eastAsia="宋体" w:cs="宋体"/>
          <w:b/>
          <w:bCs/>
          <w:kern w:val="0"/>
          <w:sz w:val="24"/>
          <w:szCs w:val="24"/>
        </w:rPr>
        <w:t>（以“</w:t>
      </w:r>
      <w:r>
        <w:rPr>
          <w:rFonts w:ascii="宋体" w:hAnsi="宋体" w:eastAsia="宋体" w:cs="Segoe UI Symbol"/>
          <w:b/>
          <w:bCs/>
          <w:kern w:val="0"/>
          <w:sz w:val="24"/>
          <w:szCs w:val="24"/>
        </w:rPr>
        <w:t>★</w:t>
      </w:r>
      <w:r>
        <w:rPr>
          <w:rFonts w:ascii="宋体" w:hAnsi="宋体" w:eastAsia="宋体" w:cs="Times New Roman"/>
          <w:b/>
          <w:bCs/>
          <w:kern w:val="0"/>
          <w:sz w:val="24"/>
          <w:szCs w:val="24"/>
        </w:rPr>
        <w:t>”</w:t>
      </w:r>
      <w:r>
        <w:rPr>
          <w:rFonts w:ascii="宋体" w:hAnsi="宋体" w:eastAsia="宋体" w:cs="宋体"/>
          <w:b/>
          <w:bCs/>
          <w:kern w:val="0"/>
          <w:sz w:val="24"/>
          <w:szCs w:val="24"/>
        </w:rPr>
        <w:t>标示的内容为不允许负偏离的实质性要求）</w:t>
      </w:r>
    </w:p>
    <w:p>
      <w:pPr>
        <w:widowControl/>
        <w:shd w:val="clear" w:color="auto" w:fill="FFFFFF"/>
        <w:spacing w:line="240" w:lineRule="atLeast"/>
        <w:jc w:val="left"/>
        <w:rPr>
          <w:rFonts w:ascii="宋体" w:hAnsi="宋体" w:eastAsia="宋体" w:cs="宋体"/>
          <w:b/>
          <w:bCs/>
          <w:kern w:val="0"/>
          <w:sz w:val="24"/>
          <w:szCs w:val="24"/>
        </w:rPr>
      </w:pPr>
      <w:r>
        <w:rPr>
          <w:rFonts w:ascii="宋体" w:hAnsi="宋体" w:eastAsia="宋体" w:cs="宋体"/>
          <w:b/>
          <w:bCs/>
          <w:kern w:val="0"/>
          <w:sz w:val="24"/>
          <w:szCs w:val="24"/>
        </w:rPr>
        <w:t>包：1</w:t>
      </w:r>
      <w:r>
        <w:rPr>
          <w:rFonts w:ascii="宋体" w:hAnsi="宋体" w:eastAsia="宋体" w:cs="宋体"/>
          <w:b/>
          <w:bCs/>
          <w:kern w:val="0"/>
          <w:sz w:val="24"/>
          <w:szCs w:val="24"/>
        </w:rPr>
        <w:br w:type="textWrapping"/>
      </w:r>
      <w:r>
        <w:rPr>
          <w:rFonts w:ascii="宋体" w:hAnsi="宋体" w:eastAsia="宋体" w:cs="宋体"/>
          <w:b/>
          <w:bCs/>
          <w:kern w:val="0"/>
          <w:sz w:val="24"/>
          <w:szCs w:val="24"/>
        </w:rPr>
        <w:t>1、交付地点：</w:t>
      </w:r>
      <w:r>
        <w:rPr>
          <w:rFonts w:hint="eastAsia" w:ascii="宋体" w:hAnsi="宋体" w:eastAsia="宋体" w:cs="宋体"/>
          <w:b/>
          <w:bCs/>
          <w:kern w:val="0"/>
          <w:sz w:val="24"/>
          <w:szCs w:val="24"/>
        </w:rPr>
        <w:t>指定地点</w:t>
      </w:r>
    </w:p>
    <w:p>
      <w:pPr>
        <w:widowControl/>
        <w:spacing w:before="75" w:after="75" w:line="240" w:lineRule="atLeast"/>
        <w:jc w:val="left"/>
        <w:rPr>
          <w:rFonts w:ascii="宋体" w:hAnsi="宋体" w:eastAsia="宋体" w:cs="宋体"/>
          <w:b/>
          <w:kern w:val="0"/>
          <w:sz w:val="24"/>
          <w:szCs w:val="24"/>
        </w:rPr>
      </w:pPr>
      <w:r>
        <w:rPr>
          <w:rStyle w:val="17"/>
          <w:rFonts w:hint="eastAsia" w:ascii="宋体" w:hAnsi="宋体" w:eastAsia="宋体" w:cs="宋体"/>
          <w:b/>
          <w:spacing w:val="0"/>
          <w:sz w:val="24"/>
          <w:szCs w:val="24"/>
        </w:rPr>
        <w:t>2、交付时间：合同签订后 (30 ) 天内交货</w:t>
      </w:r>
      <w:r>
        <w:rPr>
          <w:rStyle w:val="17"/>
          <w:rFonts w:hint="eastAsia" w:ascii="宋体" w:hAnsi="宋体" w:eastAsia="宋体" w:cs="宋体"/>
          <w:b/>
          <w:spacing w:val="0"/>
          <w:sz w:val="24"/>
          <w:szCs w:val="24"/>
        </w:rPr>
        <w:br w:type="textWrapping"/>
      </w:r>
      <w:r>
        <w:rPr>
          <w:rStyle w:val="17"/>
          <w:rFonts w:hint="eastAsia" w:ascii="宋体" w:hAnsi="宋体" w:eastAsia="宋体" w:cs="宋体"/>
          <w:b/>
          <w:spacing w:val="0"/>
          <w:sz w:val="24"/>
          <w:szCs w:val="24"/>
        </w:rPr>
        <w:t>3、交付条件：现场交付</w:t>
      </w:r>
      <w:r>
        <w:rPr>
          <w:rStyle w:val="17"/>
          <w:rFonts w:hint="eastAsia" w:ascii="宋体" w:hAnsi="宋体" w:eastAsia="宋体" w:cs="宋体"/>
          <w:b/>
          <w:spacing w:val="0"/>
          <w:sz w:val="24"/>
          <w:szCs w:val="24"/>
        </w:rPr>
        <w:br w:type="textWrapping"/>
      </w:r>
      <w:r>
        <w:rPr>
          <w:rStyle w:val="17"/>
          <w:rFonts w:hint="eastAsia" w:ascii="宋体" w:hAnsi="宋体" w:eastAsia="宋体" w:cs="宋体"/>
          <w:b/>
          <w:spacing w:val="0"/>
          <w:sz w:val="24"/>
          <w:szCs w:val="24"/>
        </w:rPr>
        <w:t>4、是否收取履约保证金：否</w:t>
      </w:r>
      <w:r>
        <w:rPr>
          <w:rStyle w:val="17"/>
          <w:rFonts w:hint="eastAsia" w:ascii="宋体" w:hAnsi="宋体" w:eastAsia="宋体" w:cs="宋体"/>
          <w:b/>
          <w:spacing w:val="0"/>
          <w:sz w:val="24"/>
          <w:szCs w:val="24"/>
        </w:rPr>
        <w:br w:type="textWrapping"/>
      </w:r>
      <w:r>
        <w:rPr>
          <w:rStyle w:val="17"/>
          <w:rFonts w:hint="eastAsia" w:ascii="宋体" w:hAnsi="宋体" w:eastAsia="宋体" w:cs="宋体"/>
          <w:b/>
          <w:spacing w:val="0"/>
          <w:sz w:val="24"/>
          <w:szCs w:val="24"/>
        </w:rPr>
        <w:t>5、是否邀请投标人参与验收：否</w:t>
      </w:r>
      <w:r>
        <w:rPr>
          <w:rStyle w:val="17"/>
          <w:rFonts w:hint="eastAsia" w:ascii="宋体" w:hAnsi="宋体" w:eastAsia="宋体" w:cs="宋体"/>
          <w:b/>
          <w:spacing w:val="0"/>
          <w:sz w:val="24"/>
          <w:szCs w:val="24"/>
        </w:rPr>
        <w:br w:type="textWrapping"/>
      </w:r>
      <w:r>
        <w:rPr>
          <w:rFonts w:ascii="宋体" w:hAnsi="宋体" w:eastAsia="宋体" w:cs="宋体"/>
          <w:b/>
          <w:bCs/>
          <w:kern w:val="0"/>
          <w:sz w:val="24"/>
          <w:szCs w:val="24"/>
        </w:rPr>
        <w:t>6、验收方式数据表格</w:t>
      </w:r>
    </w:p>
    <w:tbl>
      <w:tblPr>
        <w:tblStyle w:val="14"/>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664"/>
        <w:gridCol w:w="665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240" w:lineRule="atLeast"/>
              <w:jc w:val="left"/>
              <w:rPr>
                <w:rFonts w:ascii="宋体" w:hAnsi="宋体" w:eastAsia="宋体" w:cs="宋体"/>
                <w:kern w:val="0"/>
                <w:sz w:val="24"/>
                <w:szCs w:val="24"/>
              </w:rPr>
            </w:pPr>
            <w:r>
              <w:rPr>
                <w:rFonts w:ascii="宋体" w:hAnsi="宋体" w:eastAsia="宋体" w:cs="宋体"/>
                <w:kern w:val="0"/>
                <w:sz w:val="24"/>
                <w:szCs w:val="24"/>
              </w:rPr>
              <w:t>验收期次</w:t>
            </w:r>
          </w:p>
        </w:tc>
        <w:tc>
          <w:tcPr>
            <w:tcW w:w="4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240" w:lineRule="atLeast"/>
              <w:jc w:val="left"/>
              <w:rPr>
                <w:rFonts w:ascii="宋体" w:hAnsi="宋体" w:eastAsia="宋体" w:cs="宋体"/>
                <w:kern w:val="0"/>
                <w:sz w:val="24"/>
                <w:szCs w:val="24"/>
              </w:rPr>
            </w:pPr>
            <w:r>
              <w:rPr>
                <w:rFonts w:ascii="宋体" w:hAnsi="宋体" w:eastAsia="宋体" w:cs="宋体"/>
                <w:kern w:val="0"/>
                <w:sz w:val="24"/>
                <w:szCs w:val="24"/>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240" w:lineRule="atLeast"/>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240" w:lineRule="atLeast"/>
              <w:jc w:val="left"/>
              <w:rPr>
                <w:rFonts w:ascii="宋体" w:hAnsi="宋体" w:eastAsia="宋体" w:cs="宋体"/>
                <w:kern w:val="0"/>
                <w:sz w:val="24"/>
                <w:szCs w:val="24"/>
              </w:rPr>
            </w:pPr>
            <w:r>
              <w:rPr>
                <w:rFonts w:ascii="宋体" w:hAnsi="宋体" w:eastAsia="宋体" w:cs="宋体"/>
                <w:kern w:val="0"/>
                <w:sz w:val="24"/>
                <w:szCs w:val="24"/>
              </w:rPr>
              <w:t>招标文件要求</w:t>
            </w:r>
          </w:p>
        </w:tc>
      </w:tr>
    </w:tbl>
    <w:p>
      <w:pPr>
        <w:widowControl/>
        <w:spacing w:before="75" w:after="75" w:line="240" w:lineRule="atLeast"/>
        <w:jc w:val="left"/>
        <w:rPr>
          <w:rFonts w:ascii="宋体" w:hAnsi="宋体" w:eastAsia="宋体" w:cs="宋体"/>
          <w:b/>
          <w:bCs/>
          <w:kern w:val="0"/>
          <w:sz w:val="24"/>
          <w:szCs w:val="24"/>
        </w:rPr>
      </w:pPr>
      <w:r>
        <w:rPr>
          <w:rFonts w:ascii="宋体" w:hAnsi="宋体" w:eastAsia="宋体" w:cs="宋体"/>
          <w:b/>
          <w:bCs/>
          <w:kern w:val="0"/>
          <w:sz w:val="24"/>
          <w:szCs w:val="24"/>
        </w:rPr>
        <w:t>7、支付方式数据表格</w:t>
      </w:r>
    </w:p>
    <w:tbl>
      <w:tblPr>
        <w:tblStyle w:val="14"/>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664"/>
        <w:gridCol w:w="1664"/>
        <w:gridCol w:w="499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240" w:lineRule="atLeast"/>
              <w:jc w:val="left"/>
              <w:rPr>
                <w:rFonts w:ascii="宋体" w:hAnsi="宋体" w:eastAsia="宋体" w:cs="宋体"/>
                <w:kern w:val="0"/>
                <w:sz w:val="24"/>
                <w:szCs w:val="24"/>
              </w:rPr>
            </w:pPr>
            <w:r>
              <w:rPr>
                <w:rFonts w:ascii="宋体" w:hAnsi="宋体" w:eastAsia="宋体" w:cs="宋体"/>
                <w:kern w:val="0"/>
                <w:sz w:val="24"/>
                <w:szCs w:val="24"/>
              </w:rPr>
              <w:t>支付期次</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240" w:lineRule="atLeast"/>
              <w:jc w:val="left"/>
              <w:rPr>
                <w:rFonts w:ascii="宋体" w:hAnsi="宋体" w:eastAsia="宋体" w:cs="宋体"/>
                <w:kern w:val="0"/>
                <w:sz w:val="24"/>
                <w:szCs w:val="24"/>
              </w:rPr>
            </w:pPr>
            <w:r>
              <w:rPr>
                <w:rFonts w:ascii="宋体" w:hAnsi="宋体" w:eastAsia="宋体" w:cs="宋体"/>
                <w:kern w:val="0"/>
                <w:sz w:val="24"/>
                <w:szCs w:val="24"/>
              </w:rPr>
              <w:t>支付比例(%)</w:t>
            </w:r>
          </w:p>
        </w:tc>
        <w:tc>
          <w:tcPr>
            <w:tcW w:w="3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240" w:lineRule="atLeast"/>
              <w:jc w:val="left"/>
              <w:rPr>
                <w:rFonts w:ascii="宋体" w:hAnsi="宋体" w:eastAsia="宋体" w:cs="宋体"/>
                <w:kern w:val="0"/>
                <w:sz w:val="24"/>
                <w:szCs w:val="24"/>
              </w:rPr>
            </w:pPr>
            <w:r>
              <w:rPr>
                <w:rFonts w:ascii="宋体" w:hAnsi="宋体" w:eastAsia="宋体" w:cs="宋体"/>
                <w:kern w:val="0"/>
                <w:sz w:val="24"/>
                <w:szCs w:val="24"/>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240" w:lineRule="atLeast"/>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240" w:lineRule="atLeast"/>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240" w:lineRule="atLeast"/>
              <w:jc w:val="left"/>
              <w:rPr>
                <w:rFonts w:ascii="宋体" w:hAnsi="宋体" w:eastAsia="宋体" w:cs="宋体"/>
                <w:kern w:val="0"/>
                <w:sz w:val="24"/>
                <w:szCs w:val="24"/>
              </w:rPr>
            </w:pPr>
            <w:r>
              <w:rPr>
                <w:rFonts w:hint="eastAsia" w:ascii="宋体" w:hAnsi="宋体" w:eastAsia="宋体" w:cs="宋体"/>
                <w:kern w:val="0"/>
                <w:sz w:val="24"/>
                <w:szCs w:val="24"/>
              </w:rPr>
              <w:t>合同签订后现金支付合同总额的50%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240" w:lineRule="atLeas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240" w:lineRule="atLeast"/>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240" w:lineRule="atLeast"/>
              <w:jc w:val="left"/>
              <w:rPr>
                <w:rFonts w:ascii="宋体" w:hAnsi="宋体" w:eastAsia="宋体" w:cs="宋体"/>
                <w:kern w:val="0"/>
                <w:sz w:val="24"/>
                <w:szCs w:val="24"/>
              </w:rPr>
            </w:pPr>
            <w:r>
              <w:rPr>
                <w:rFonts w:hint="eastAsia" w:ascii="宋体" w:hAnsi="宋体" w:eastAsia="宋体" w:cs="宋体"/>
                <w:kern w:val="0"/>
                <w:sz w:val="24"/>
                <w:szCs w:val="24"/>
              </w:rPr>
              <w:t>验收合格且在收到业主方相应款项后背靠背现金支付合同总额的45%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240" w:lineRule="atLeas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240" w:lineRule="atLeast"/>
              <w:jc w:val="left"/>
              <w:rPr>
                <w:rFonts w:ascii="宋体" w:hAnsi="宋体" w:eastAsia="宋体" w:cs="宋体"/>
                <w:kern w:val="0"/>
                <w:sz w:val="24"/>
                <w:szCs w:val="24"/>
              </w:rPr>
            </w:pPr>
            <w:r>
              <w:rPr>
                <w:rFonts w:ascii="宋体" w:hAnsi="宋体" w:eastAsia="宋体" w:cs="宋体"/>
                <w:kern w:val="0"/>
                <w:sz w:val="24"/>
                <w:szCs w:val="24"/>
              </w:rPr>
              <w:t>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240" w:lineRule="atLeast"/>
              <w:jc w:val="left"/>
              <w:rPr>
                <w:rFonts w:ascii="宋体" w:hAnsi="宋体" w:eastAsia="宋体" w:cs="宋体"/>
                <w:kern w:val="0"/>
                <w:sz w:val="24"/>
                <w:szCs w:val="24"/>
              </w:rPr>
            </w:pPr>
            <w:r>
              <w:rPr>
                <w:rFonts w:ascii="宋体" w:hAnsi="宋体" w:eastAsia="宋体" w:cs="宋体"/>
                <w:kern w:val="0"/>
                <w:sz w:val="24"/>
                <w:szCs w:val="24"/>
              </w:rPr>
              <w:t>一年后产品无问题，支付总额5%</w:t>
            </w:r>
          </w:p>
        </w:tc>
      </w:tr>
    </w:tbl>
    <w:p>
      <w:pPr>
        <w:pStyle w:val="13"/>
        <w:keepNext w:val="0"/>
        <w:keepLines w:val="0"/>
        <w:widowControl/>
        <w:suppressLineNumbers w:val="0"/>
        <w:spacing w:before="75" w:beforeAutospacing="0" w:after="75" w:afterAutospacing="0"/>
        <w:ind w:left="-180" w:right="-180" w:firstLine="0"/>
      </w:pPr>
      <w:r>
        <w:rPr>
          <w:rFonts w:hint="eastAsia" w:ascii="宋体" w:hAnsi="宋体" w:eastAsia="宋体" w:cs="宋体"/>
          <w:spacing w:val="0"/>
          <w:sz w:val="24"/>
          <w:szCs w:val="24"/>
        </w:rPr>
        <w:t>四、其他事项</w:t>
      </w:r>
    </w:p>
    <w:p>
      <w:pPr>
        <w:pStyle w:val="13"/>
        <w:keepNext w:val="0"/>
        <w:keepLines w:val="0"/>
        <w:widowControl/>
        <w:suppressLineNumbers w:val="0"/>
        <w:spacing w:before="75" w:beforeAutospacing="0" w:after="75" w:afterAutospacing="0"/>
        <w:ind w:left="-180" w:right="-180" w:firstLine="0"/>
      </w:pPr>
      <w:r>
        <w:rPr>
          <w:rFonts w:hint="eastAsia" w:ascii="宋体" w:hAnsi="宋体" w:eastAsia="宋体" w:cs="宋体"/>
          <w:spacing w:val="0"/>
          <w:sz w:val="24"/>
          <w:szCs w:val="24"/>
        </w:rPr>
        <w:t>1、除招标文件另有规定外，若出现有关法律、法规和规章有强制性规定但招标文件未列明的情形，则投标人应按照有关法律、法规和规章强制性规定执行。</w:t>
      </w:r>
    </w:p>
    <w:p>
      <w:pPr>
        <w:pStyle w:val="13"/>
        <w:keepNext w:val="0"/>
        <w:keepLines w:val="0"/>
        <w:widowControl/>
        <w:suppressLineNumbers w:val="0"/>
        <w:spacing w:before="75" w:beforeAutospacing="0" w:after="75" w:afterAutospacing="0"/>
        <w:ind w:left="-180" w:right="-180" w:firstLine="0"/>
      </w:pPr>
      <w:r>
        <w:rPr>
          <w:spacing w:val="0"/>
          <w:sz w:val="24"/>
          <w:szCs w:val="24"/>
        </w:rPr>
        <w:t>2、其他：</w:t>
      </w:r>
    </w:p>
    <w:p>
      <w:pPr>
        <w:pStyle w:val="13"/>
        <w:keepNext w:val="0"/>
        <w:keepLines w:val="0"/>
        <w:widowControl/>
        <w:suppressLineNumbers w:val="0"/>
        <w:ind w:left="-180" w:right="-180"/>
        <w:rPr>
          <w:rFonts w:hint="eastAsia" w:ascii="宋体" w:hAnsi="宋体" w:eastAsia="宋体" w:cs="宋体"/>
          <w:sz w:val="27"/>
          <w:szCs w:val="27"/>
        </w:rPr>
      </w:pPr>
      <w:r>
        <w:rPr>
          <w:rFonts w:hint="eastAsia" w:ascii="宋体" w:hAnsi="宋体" w:eastAsia="宋体" w:cs="宋体"/>
          <w:spacing w:val="0"/>
          <w:sz w:val="24"/>
          <w:szCs w:val="24"/>
        </w:rPr>
        <w:t>1、除招标文件另有规定外，若出现有关法律、法规和规章有强制性规定但招标文件未列明的情形，则投标人应按照有关法律、法规和规章强制性规定执行。</w:t>
      </w:r>
    </w:p>
    <w:p>
      <w:pPr>
        <w:pStyle w:val="13"/>
        <w:keepNext w:val="0"/>
        <w:keepLines w:val="0"/>
        <w:widowControl/>
        <w:suppressLineNumbers w:val="0"/>
        <w:ind w:left="-180" w:right="-180"/>
        <w:rPr>
          <w:rFonts w:hint="eastAsia" w:ascii="宋体" w:hAnsi="宋体" w:eastAsia="宋体" w:cs="宋体"/>
          <w:sz w:val="27"/>
          <w:szCs w:val="27"/>
        </w:rPr>
      </w:pPr>
      <w:r>
        <w:rPr>
          <w:rFonts w:hint="eastAsia" w:ascii="宋体" w:hAnsi="宋体" w:eastAsia="宋体" w:cs="宋体"/>
          <w:spacing w:val="0"/>
          <w:sz w:val="24"/>
          <w:szCs w:val="24"/>
        </w:rPr>
        <w:t>2、其他：</w:t>
      </w:r>
    </w:p>
    <w:p>
      <w:pPr>
        <w:pStyle w:val="13"/>
        <w:keepNext w:val="0"/>
        <w:keepLines w:val="0"/>
        <w:widowControl/>
        <w:suppressLineNumbers w:val="0"/>
        <w:shd w:val="clear" w:color="auto" w:fill="FFFFFF"/>
        <w:spacing w:before="0" w:beforeAutospacing="0" w:after="150" w:afterAutospacing="0" w:line="435" w:lineRule="atLeast"/>
        <w:ind w:left="-180" w:right="-180"/>
        <w:rPr>
          <w:rFonts w:hint="eastAsia" w:ascii="宋体" w:hAnsi="宋体" w:eastAsia="宋体" w:cs="宋体"/>
          <w:sz w:val="27"/>
          <w:szCs w:val="27"/>
        </w:rPr>
      </w:pPr>
      <w:r>
        <w:rPr>
          <w:rFonts w:hint="eastAsia" w:ascii="宋体" w:hAnsi="宋体" w:eastAsia="宋体" w:cs="宋体"/>
          <w:sz w:val="24"/>
          <w:szCs w:val="24"/>
          <w:shd w:val="clear" w:color="auto" w:fill="FFFFFF"/>
        </w:rPr>
        <w:t>1.1安装</w:t>
      </w:r>
    </w:p>
    <w:p>
      <w:pPr>
        <w:pStyle w:val="13"/>
        <w:keepNext w:val="0"/>
        <w:keepLines w:val="0"/>
        <w:widowControl/>
        <w:suppressLineNumbers w:val="0"/>
        <w:shd w:val="clear" w:color="auto" w:fill="FFFFFF"/>
        <w:spacing w:before="0" w:beforeAutospacing="0" w:after="150" w:afterAutospacing="0" w:line="435" w:lineRule="atLeast"/>
        <w:ind w:left="-180" w:right="-180"/>
        <w:rPr>
          <w:rFonts w:hint="eastAsia" w:ascii="宋体" w:hAnsi="宋体" w:eastAsia="宋体" w:cs="宋体"/>
          <w:sz w:val="27"/>
          <w:szCs w:val="27"/>
        </w:rPr>
      </w:pPr>
      <w:r>
        <w:rPr>
          <w:rFonts w:hint="eastAsia" w:ascii="宋体" w:hAnsi="宋体" w:eastAsia="宋体" w:cs="宋体"/>
          <w:sz w:val="24"/>
          <w:szCs w:val="24"/>
          <w:shd w:val="clear" w:color="auto" w:fill="FFFFFF"/>
        </w:rPr>
        <w:t>1.1.1 合同签订后，由中标人负责将设备按签订合同的具体数量、具体地点运送到最终目的地。并负责派技术人员到现场进行安装、调试，并负责调试至验收合格交付采购人使用。</w:t>
      </w:r>
    </w:p>
    <w:p>
      <w:pPr>
        <w:pStyle w:val="13"/>
        <w:keepNext w:val="0"/>
        <w:keepLines w:val="0"/>
        <w:widowControl/>
        <w:suppressLineNumbers w:val="0"/>
        <w:shd w:val="clear" w:color="auto" w:fill="FFFFFF"/>
        <w:spacing w:before="0" w:beforeAutospacing="0" w:after="150" w:afterAutospacing="0" w:line="435" w:lineRule="atLeast"/>
        <w:ind w:left="-180" w:right="-180"/>
        <w:rPr>
          <w:rFonts w:hint="eastAsia" w:ascii="宋体" w:hAnsi="宋体" w:eastAsia="宋体" w:cs="宋体"/>
          <w:sz w:val="27"/>
          <w:szCs w:val="27"/>
        </w:rPr>
      </w:pPr>
      <w:r>
        <w:rPr>
          <w:rFonts w:hint="eastAsia" w:ascii="宋体" w:hAnsi="宋体" w:eastAsia="宋体" w:cs="宋体"/>
          <w:sz w:val="24"/>
          <w:szCs w:val="24"/>
          <w:shd w:val="clear" w:color="auto" w:fill="FFFFFF"/>
        </w:rPr>
        <w:t>1.1.2 中标人负责组织专业技术人员进行货物安装调试，采购人应提供必须的基本条件和专人配合，保证各项安装工作顺利进行。</w:t>
      </w:r>
    </w:p>
    <w:p>
      <w:pPr>
        <w:pStyle w:val="13"/>
        <w:keepNext w:val="0"/>
        <w:keepLines w:val="0"/>
        <w:widowControl/>
        <w:suppressLineNumbers w:val="0"/>
        <w:shd w:val="clear" w:color="auto" w:fill="FFFFFF"/>
        <w:spacing w:before="0" w:beforeAutospacing="0" w:after="150" w:afterAutospacing="0" w:line="435" w:lineRule="atLeast"/>
        <w:ind w:left="-180" w:right="-180"/>
        <w:rPr>
          <w:rFonts w:hint="eastAsia" w:ascii="宋体" w:hAnsi="宋体" w:eastAsia="宋体" w:cs="宋体"/>
          <w:sz w:val="27"/>
          <w:szCs w:val="27"/>
        </w:rPr>
      </w:pPr>
      <w:r>
        <w:rPr>
          <w:rFonts w:hint="eastAsia" w:ascii="宋体" w:hAnsi="宋体" w:eastAsia="宋体" w:cs="宋体"/>
          <w:sz w:val="24"/>
          <w:szCs w:val="24"/>
          <w:shd w:val="clear" w:color="auto" w:fill="FFFFFF"/>
        </w:rPr>
        <w:t>1.1.3 中标人应在合同签订时，向采购人提供安装及试运行的进度计划表</w:t>
      </w:r>
    </w:p>
    <w:p>
      <w:pPr>
        <w:pStyle w:val="13"/>
        <w:keepNext w:val="0"/>
        <w:keepLines w:val="0"/>
        <w:widowControl/>
        <w:suppressLineNumbers w:val="0"/>
        <w:shd w:val="clear" w:color="auto" w:fill="FFFFFF"/>
        <w:spacing w:before="0" w:beforeAutospacing="0" w:after="150" w:afterAutospacing="0" w:line="435" w:lineRule="atLeast"/>
        <w:ind w:left="-180" w:right="-180"/>
        <w:rPr>
          <w:rFonts w:hint="eastAsia" w:ascii="宋体" w:hAnsi="宋体" w:eastAsia="宋体" w:cs="宋体"/>
          <w:sz w:val="27"/>
          <w:szCs w:val="27"/>
        </w:rPr>
      </w:pPr>
      <w:r>
        <w:rPr>
          <w:rFonts w:hint="eastAsia" w:ascii="宋体" w:hAnsi="宋体" w:eastAsia="宋体" w:cs="宋体"/>
          <w:sz w:val="24"/>
          <w:szCs w:val="24"/>
          <w:shd w:val="clear" w:color="auto" w:fill="FFFFFF"/>
        </w:rPr>
        <w:t>1.1.4 设备到达最终采购人现场后，中标人的工程师到采购人的现场安装设备，同时应向采购人介绍设备功能及特殊分析并进行现场演示。</w:t>
      </w:r>
    </w:p>
    <w:p>
      <w:pPr>
        <w:pStyle w:val="13"/>
        <w:keepNext w:val="0"/>
        <w:keepLines w:val="0"/>
        <w:widowControl/>
        <w:suppressLineNumbers w:val="0"/>
        <w:shd w:val="clear" w:color="auto" w:fill="FFFFFF"/>
        <w:spacing w:before="0" w:beforeAutospacing="0" w:after="150" w:afterAutospacing="0" w:line="435" w:lineRule="atLeast"/>
        <w:ind w:left="-180" w:right="-180"/>
        <w:rPr>
          <w:rFonts w:hint="eastAsia" w:ascii="宋体" w:hAnsi="宋体" w:eastAsia="宋体" w:cs="宋体"/>
          <w:sz w:val="27"/>
          <w:szCs w:val="27"/>
        </w:rPr>
      </w:pPr>
      <w:r>
        <w:rPr>
          <w:rFonts w:hint="eastAsia" w:ascii="宋体" w:hAnsi="宋体" w:eastAsia="宋体" w:cs="宋体"/>
          <w:sz w:val="24"/>
          <w:szCs w:val="24"/>
          <w:shd w:val="clear" w:color="auto" w:fill="FFFFFF"/>
        </w:rPr>
        <w:t>1.1.5设备进场后须在接到采购人安装通知后在采购人规定的时间内安装调试完毕并交付使用。</w:t>
      </w:r>
    </w:p>
    <w:p>
      <w:pPr>
        <w:pStyle w:val="13"/>
        <w:keepNext w:val="0"/>
        <w:keepLines w:val="0"/>
        <w:widowControl/>
        <w:suppressLineNumbers w:val="0"/>
        <w:shd w:val="clear" w:color="auto" w:fill="FFFFFF"/>
        <w:spacing w:before="0" w:beforeAutospacing="0" w:after="150" w:afterAutospacing="0" w:line="435" w:lineRule="atLeast"/>
        <w:ind w:left="-180" w:right="-180"/>
        <w:rPr>
          <w:rFonts w:hint="eastAsia" w:ascii="宋体" w:hAnsi="宋体" w:eastAsia="宋体" w:cs="宋体"/>
          <w:sz w:val="27"/>
          <w:szCs w:val="27"/>
        </w:rPr>
      </w:pPr>
      <w:r>
        <w:rPr>
          <w:rFonts w:hint="eastAsia" w:ascii="宋体" w:hAnsi="宋体" w:eastAsia="宋体" w:cs="宋体"/>
          <w:sz w:val="24"/>
          <w:szCs w:val="24"/>
          <w:shd w:val="clear" w:color="auto" w:fill="FFFFFF"/>
        </w:rPr>
        <w:t>1.2  验收</w:t>
      </w:r>
    </w:p>
    <w:p>
      <w:pPr>
        <w:pStyle w:val="13"/>
        <w:keepNext w:val="0"/>
        <w:keepLines w:val="0"/>
        <w:widowControl/>
        <w:suppressLineNumbers w:val="0"/>
        <w:shd w:val="clear" w:color="auto" w:fill="FFFFFF"/>
        <w:spacing w:before="0" w:beforeAutospacing="0" w:after="150" w:afterAutospacing="0" w:line="435" w:lineRule="atLeast"/>
        <w:ind w:left="-180" w:right="-180"/>
        <w:rPr>
          <w:rFonts w:hint="eastAsia" w:ascii="宋体" w:hAnsi="宋体" w:eastAsia="宋体" w:cs="宋体"/>
          <w:sz w:val="27"/>
          <w:szCs w:val="27"/>
        </w:rPr>
      </w:pPr>
      <w:r>
        <w:rPr>
          <w:rFonts w:hint="eastAsia" w:ascii="宋体" w:hAnsi="宋体" w:eastAsia="宋体" w:cs="宋体"/>
          <w:sz w:val="24"/>
          <w:szCs w:val="24"/>
          <w:shd w:val="clear" w:color="auto" w:fill="FFFFFF"/>
        </w:rPr>
        <w:t>1.2.1验收标准</w:t>
      </w:r>
    </w:p>
    <w:p>
      <w:pPr>
        <w:pStyle w:val="13"/>
        <w:keepNext w:val="0"/>
        <w:keepLines w:val="0"/>
        <w:widowControl/>
        <w:suppressLineNumbers w:val="0"/>
        <w:shd w:val="clear" w:color="auto" w:fill="FFFFFF"/>
        <w:spacing w:before="0" w:beforeAutospacing="0" w:after="150" w:afterAutospacing="0" w:line="435" w:lineRule="atLeast"/>
        <w:ind w:left="-180" w:right="-180"/>
        <w:rPr>
          <w:rFonts w:hint="eastAsia" w:ascii="宋体" w:hAnsi="宋体" w:eastAsia="宋体" w:cs="宋体"/>
          <w:sz w:val="27"/>
          <w:szCs w:val="27"/>
        </w:rPr>
      </w:pPr>
      <w:r>
        <w:rPr>
          <w:rFonts w:hint="eastAsia" w:ascii="宋体" w:hAnsi="宋体" w:eastAsia="宋体" w:cs="宋体"/>
          <w:sz w:val="24"/>
          <w:szCs w:val="24"/>
          <w:shd w:val="clear" w:color="auto" w:fill="FFFFFF"/>
        </w:rPr>
        <w:t>投标人所提供的设备必须是制造厂家生产的崭新的未开箱的原包装设备。所有设备按厂 家设备验收标准（符合国家或行业或地方标准）、招标文件、投标文件等有关内容进行验收。投标人提供设备的制造标准及技术规范等有关资料必须符合中国相应有关标准、规范要求。</w:t>
      </w:r>
    </w:p>
    <w:p>
      <w:pPr>
        <w:pStyle w:val="13"/>
        <w:keepNext w:val="0"/>
        <w:keepLines w:val="0"/>
        <w:widowControl/>
        <w:suppressLineNumbers w:val="0"/>
        <w:shd w:val="clear" w:color="auto" w:fill="FFFFFF"/>
        <w:spacing w:before="0" w:beforeAutospacing="0" w:after="150" w:afterAutospacing="0" w:line="435" w:lineRule="atLeast"/>
        <w:ind w:left="-180" w:right="-180"/>
        <w:rPr>
          <w:rFonts w:hint="eastAsia" w:ascii="宋体" w:hAnsi="宋体" w:eastAsia="宋体" w:cs="宋体"/>
          <w:sz w:val="27"/>
          <w:szCs w:val="27"/>
        </w:rPr>
      </w:pPr>
      <w:r>
        <w:rPr>
          <w:rFonts w:hint="eastAsia" w:ascii="宋体" w:hAnsi="宋体" w:eastAsia="宋体" w:cs="宋体"/>
          <w:sz w:val="24"/>
          <w:szCs w:val="24"/>
          <w:shd w:val="clear" w:color="auto" w:fill="FFFFFF"/>
        </w:rPr>
        <w:t>1.2.2验收程序和方法</w:t>
      </w:r>
    </w:p>
    <w:p>
      <w:pPr>
        <w:pStyle w:val="13"/>
        <w:keepNext w:val="0"/>
        <w:keepLines w:val="0"/>
        <w:widowControl/>
        <w:suppressLineNumbers w:val="0"/>
        <w:shd w:val="clear" w:color="auto" w:fill="FFFFFF"/>
        <w:spacing w:before="0" w:beforeAutospacing="0" w:after="150" w:afterAutospacing="0" w:line="435" w:lineRule="atLeast"/>
        <w:ind w:left="-180" w:right="-180"/>
        <w:rPr>
          <w:rFonts w:hint="eastAsia" w:ascii="宋体" w:hAnsi="宋体" w:eastAsia="宋体" w:cs="宋体"/>
          <w:sz w:val="27"/>
          <w:szCs w:val="27"/>
        </w:rPr>
      </w:pPr>
      <w:r>
        <w:rPr>
          <w:rFonts w:hint="eastAsia" w:ascii="宋体" w:hAnsi="宋体" w:eastAsia="宋体" w:cs="宋体"/>
          <w:sz w:val="24"/>
          <w:szCs w:val="24"/>
          <w:shd w:val="clear" w:color="auto" w:fill="FFFFFF"/>
        </w:rPr>
        <w:t>1.2.2.1出厂检验</w:t>
      </w:r>
    </w:p>
    <w:p>
      <w:pPr>
        <w:pStyle w:val="13"/>
        <w:keepNext w:val="0"/>
        <w:keepLines w:val="0"/>
        <w:widowControl/>
        <w:suppressLineNumbers w:val="0"/>
        <w:shd w:val="clear" w:color="auto" w:fill="FFFFFF"/>
        <w:spacing w:before="0" w:beforeAutospacing="0" w:after="150" w:afterAutospacing="0" w:line="435" w:lineRule="atLeast"/>
        <w:ind w:left="-180" w:right="-180"/>
        <w:rPr>
          <w:rFonts w:hint="eastAsia" w:ascii="宋体" w:hAnsi="宋体" w:eastAsia="宋体" w:cs="宋体"/>
          <w:sz w:val="27"/>
          <w:szCs w:val="27"/>
        </w:rPr>
      </w:pPr>
      <w:r>
        <w:rPr>
          <w:rFonts w:hint="eastAsia" w:ascii="宋体" w:hAnsi="宋体" w:eastAsia="宋体" w:cs="宋体"/>
          <w:sz w:val="24"/>
          <w:szCs w:val="24"/>
          <w:shd w:val="clear" w:color="auto" w:fill="FFFFFF"/>
        </w:rPr>
        <w:t>中标人在设备出厂前，应按设备技术标准规定的检验项目和检验方法进行全面检验，中标人应随同货物出具产地证书、质量合格证书、原装拼配设备的证明资料和文件以及生产厂家供货确认函等。结果必须符合招标文件验收标准的要求。</w:t>
      </w:r>
    </w:p>
    <w:p>
      <w:pPr>
        <w:pStyle w:val="13"/>
        <w:keepNext w:val="0"/>
        <w:keepLines w:val="0"/>
        <w:widowControl/>
        <w:suppressLineNumbers w:val="0"/>
        <w:shd w:val="clear" w:color="auto" w:fill="FFFFFF"/>
        <w:spacing w:before="0" w:beforeAutospacing="0" w:after="150" w:afterAutospacing="0" w:line="435" w:lineRule="atLeast"/>
        <w:ind w:left="-180" w:right="-180"/>
        <w:rPr>
          <w:rFonts w:hint="eastAsia" w:ascii="宋体" w:hAnsi="宋体" w:eastAsia="宋体" w:cs="宋体"/>
          <w:sz w:val="27"/>
          <w:szCs w:val="27"/>
        </w:rPr>
      </w:pPr>
      <w:r>
        <w:rPr>
          <w:rFonts w:hint="eastAsia" w:ascii="宋体" w:hAnsi="宋体" w:eastAsia="宋体" w:cs="宋体"/>
          <w:sz w:val="24"/>
          <w:szCs w:val="24"/>
          <w:shd w:val="clear" w:color="auto" w:fill="FFFFFF"/>
        </w:rPr>
        <w:t>1.2.2.2初验收：</w:t>
      </w:r>
    </w:p>
    <w:p>
      <w:pPr>
        <w:pStyle w:val="13"/>
        <w:keepNext w:val="0"/>
        <w:keepLines w:val="0"/>
        <w:widowControl/>
        <w:suppressLineNumbers w:val="0"/>
        <w:shd w:val="clear" w:color="auto" w:fill="FFFFFF"/>
        <w:spacing w:before="0" w:beforeAutospacing="0" w:after="150" w:afterAutospacing="0" w:line="435" w:lineRule="atLeast"/>
        <w:ind w:left="-180" w:right="-180"/>
        <w:rPr>
          <w:rFonts w:hint="eastAsia" w:ascii="宋体" w:hAnsi="宋体" w:eastAsia="宋体" w:cs="宋体"/>
          <w:sz w:val="27"/>
          <w:szCs w:val="27"/>
        </w:rPr>
      </w:pPr>
      <w:r>
        <w:rPr>
          <w:rFonts w:hint="eastAsia" w:ascii="宋体" w:hAnsi="宋体" w:eastAsia="宋体" w:cs="宋体"/>
          <w:sz w:val="24"/>
          <w:szCs w:val="24"/>
          <w:shd w:val="clear" w:color="auto" w:fill="FFFFFF"/>
        </w:rPr>
        <w:t>由中标人和采购人共同对设备的数量、质量、外包装等根据本章节的有关规定逐项检验。</w:t>
      </w:r>
    </w:p>
    <w:p>
      <w:pPr>
        <w:pStyle w:val="13"/>
        <w:keepNext w:val="0"/>
        <w:keepLines w:val="0"/>
        <w:widowControl/>
        <w:suppressLineNumbers w:val="0"/>
        <w:shd w:val="clear" w:color="auto" w:fill="FFFFFF"/>
        <w:spacing w:before="0" w:beforeAutospacing="0" w:after="150" w:afterAutospacing="0" w:line="435" w:lineRule="atLeast"/>
        <w:ind w:left="-180" w:right="-180"/>
        <w:rPr>
          <w:rFonts w:hint="eastAsia" w:ascii="宋体" w:hAnsi="宋体" w:eastAsia="宋体" w:cs="宋体"/>
          <w:sz w:val="27"/>
          <w:szCs w:val="27"/>
        </w:rPr>
      </w:pPr>
      <w:r>
        <w:rPr>
          <w:rFonts w:hint="eastAsia" w:ascii="宋体" w:hAnsi="宋体" w:eastAsia="宋体" w:cs="宋体"/>
          <w:sz w:val="24"/>
          <w:szCs w:val="24"/>
          <w:shd w:val="clear" w:color="auto" w:fill="FFFFFF"/>
        </w:rPr>
        <w:t>1.2.2.3试运行：</w:t>
      </w:r>
    </w:p>
    <w:p>
      <w:pPr>
        <w:pStyle w:val="13"/>
        <w:keepNext w:val="0"/>
        <w:keepLines w:val="0"/>
        <w:widowControl/>
        <w:suppressLineNumbers w:val="0"/>
        <w:shd w:val="clear" w:color="auto" w:fill="FFFFFF"/>
        <w:spacing w:before="0" w:beforeAutospacing="0" w:after="150" w:afterAutospacing="0" w:line="435" w:lineRule="atLeast"/>
        <w:ind w:left="-180" w:right="-180"/>
        <w:rPr>
          <w:rFonts w:hint="eastAsia" w:ascii="宋体" w:hAnsi="宋体" w:eastAsia="宋体" w:cs="宋体"/>
          <w:sz w:val="27"/>
          <w:szCs w:val="27"/>
        </w:rPr>
      </w:pPr>
      <w:r>
        <w:rPr>
          <w:rFonts w:hint="eastAsia" w:ascii="宋体" w:hAnsi="宋体" w:eastAsia="宋体" w:cs="宋体"/>
          <w:sz w:val="24"/>
          <w:szCs w:val="24"/>
          <w:shd w:val="clear" w:color="auto" w:fill="FFFFFF"/>
        </w:rPr>
        <w:t>设备安装完毕后，中标人应对设备的整体性能和功能进行测试，试运行期间，出现的任何问题，应由中标人及时处理修正。测试结果必须符合招标文件要求及合同中的相关条款，同时中标人应向采购人提供自检记录。</w:t>
      </w:r>
    </w:p>
    <w:p>
      <w:pPr>
        <w:pStyle w:val="13"/>
        <w:keepNext w:val="0"/>
        <w:keepLines w:val="0"/>
        <w:widowControl/>
        <w:suppressLineNumbers w:val="0"/>
        <w:shd w:val="clear" w:color="auto" w:fill="FFFFFF"/>
        <w:spacing w:before="0" w:beforeAutospacing="0" w:after="150" w:afterAutospacing="0" w:line="435" w:lineRule="atLeast"/>
        <w:ind w:left="-180" w:right="-180"/>
        <w:rPr>
          <w:rFonts w:hint="eastAsia" w:ascii="宋体" w:hAnsi="宋体" w:eastAsia="宋体" w:cs="宋体"/>
          <w:sz w:val="27"/>
          <w:szCs w:val="27"/>
        </w:rPr>
      </w:pPr>
      <w:r>
        <w:rPr>
          <w:rFonts w:hint="eastAsia" w:ascii="宋体" w:hAnsi="宋体" w:eastAsia="宋体" w:cs="宋体"/>
          <w:sz w:val="24"/>
          <w:szCs w:val="24"/>
          <w:shd w:val="clear" w:color="auto" w:fill="FFFFFF"/>
        </w:rPr>
        <w:t>1.2.2.4最终验收：</w:t>
      </w:r>
    </w:p>
    <w:p>
      <w:pPr>
        <w:pStyle w:val="13"/>
        <w:keepNext w:val="0"/>
        <w:keepLines w:val="0"/>
        <w:widowControl/>
        <w:suppressLineNumbers w:val="0"/>
        <w:shd w:val="clear" w:color="auto" w:fill="FFFFFF"/>
        <w:spacing w:before="0" w:beforeAutospacing="0" w:after="150" w:afterAutospacing="0" w:line="435" w:lineRule="atLeast"/>
        <w:ind w:left="-180" w:right="-180"/>
        <w:rPr>
          <w:rFonts w:hint="eastAsia" w:ascii="宋体" w:hAnsi="宋体" w:eastAsia="宋体" w:cs="宋体"/>
          <w:sz w:val="27"/>
          <w:szCs w:val="27"/>
        </w:rPr>
      </w:pPr>
      <w:r>
        <w:rPr>
          <w:rFonts w:hint="eastAsia" w:ascii="宋体" w:hAnsi="宋体" w:eastAsia="宋体" w:cs="宋体"/>
          <w:sz w:val="24"/>
          <w:szCs w:val="24"/>
          <w:shd w:val="clear" w:color="auto" w:fill="FFFFFF"/>
        </w:rPr>
        <w:t>试运行并测试验收结束后，由采购人或中标人委托的专业公司以及有关管理部门按招标文件以及合同相关条款要求一同对设备进行联合验收，验收结果应符合采购人使用要求。在此期间，若发现产品质量有问题中标人应无条件免费更换，并无条件重新检测且调试直至验收合格交付使用。</w:t>
      </w:r>
    </w:p>
    <w:p>
      <w:pPr>
        <w:pStyle w:val="13"/>
        <w:keepNext w:val="0"/>
        <w:keepLines w:val="0"/>
        <w:widowControl/>
        <w:suppressLineNumbers w:val="0"/>
        <w:shd w:val="clear" w:color="auto" w:fill="FFFFFF"/>
        <w:spacing w:before="0" w:beforeAutospacing="0" w:after="150" w:afterAutospacing="0" w:line="435" w:lineRule="atLeast"/>
        <w:ind w:left="-180" w:right="-180"/>
        <w:rPr>
          <w:rFonts w:hint="eastAsia" w:ascii="宋体" w:hAnsi="宋体" w:eastAsia="宋体" w:cs="宋体"/>
          <w:sz w:val="27"/>
          <w:szCs w:val="27"/>
        </w:rPr>
      </w:pPr>
      <w:r>
        <w:rPr>
          <w:rFonts w:hint="eastAsia" w:ascii="宋体" w:hAnsi="宋体" w:eastAsia="宋体" w:cs="宋体"/>
          <w:sz w:val="24"/>
          <w:szCs w:val="24"/>
          <w:shd w:val="clear" w:color="auto" w:fill="FFFFFF"/>
        </w:rPr>
        <w:t>1.2.3中标人在采购人安装现场进行最终验收所产生的一切费用由中标人承担（并入投标报价内）。</w:t>
      </w:r>
    </w:p>
    <w:p>
      <w:pPr>
        <w:pStyle w:val="13"/>
        <w:keepNext w:val="0"/>
        <w:keepLines w:val="0"/>
        <w:widowControl/>
        <w:suppressLineNumbers w:val="0"/>
        <w:shd w:val="clear" w:color="auto" w:fill="FFFFFF"/>
        <w:spacing w:before="0" w:beforeAutospacing="0" w:after="150" w:afterAutospacing="0" w:line="435" w:lineRule="atLeast"/>
        <w:ind w:left="-180" w:right="-180"/>
        <w:rPr>
          <w:rFonts w:hint="eastAsia" w:ascii="宋体" w:hAnsi="宋体" w:eastAsia="宋体" w:cs="宋体"/>
          <w:sz w:val="27"/>
          <w:szCs w:val="27"/>
        </w:rPr>
      </w:pPr>
      <w:r>
        <w:rPr>
          <w:rFonts w:hint="eastAsia" w:ascii="宋体" w:hAnsi="宋体" w:eastAsia="宋体" w:cs="宋体"/>
          <w:sz w:val="24"/>
          <w:szCs w:val="24"/>
          <w:shd w:val="clear" w:color="auto" w:fill="FFFFFF"/>
        </w:rPr>
        <w:t>1.2.4若验收不能符合要求，采购人将按合同条款的有关规定执行。</w:t>
      </w:r>
    </w:p>
    <w:p>
      <w:pPr>
        <w:pStyle w:val="13"/>
        <w:keepNext w:val="0"/>
        <w:keepLines w:val="0"/>
        <w:widowControl/>
        <w:suppressLineNumbers w:val="0"/>
        <w:shd w:val="clear" w:color="auto" w:fill="FFFFFF"/>
        <w:spacing w:before="0" w:beforeAutospacing="0" w:after="150" w:afterAutospacing="0" w:line="435" w:lineRule="atLeast"/>
        <w:ind w:left="-180" w:right="-180"/>
        <w:rPr>
          <w:rFonts w:hint="eastAsia" w:ascii="宋体" w:hAnsi="宋体" w:eastAsia="宋体" w:cs="宋体"/>
          <w:sz w:val="27"/>
          <w:szCs w:val="27"/>
        </w:rPr>
      </w:pPr>
      <w:r>
        <w:rPr>
          <w:rFonts w:hint="eastAsia" w:ascii="宋体" w:hAnsi="宋体" w:eastAsia="宋体" w:cs="宋体"/>
          <w:sz w:val="24"/>
          <w:szCs w:val="24"/>
          <w:shd w:val="clear" w:color="auto" w:fill="FFFFFF"/>
        </w:rPr>
        <w:t>二、质保期和售后服务要求</w:t>
      </w:r>
    </w:p>
    <w:p>
      <w:pPr>
        <w:pStyle w:val="1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50" w:afterAutospacing="0" w:line="360" w:lineRule="auto"/>
        <w:ind w:left="-180" w:right="-18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2.1中标人须对其所供货物须提供不少于壹年免费质保期（符合国家三包），质保期从项目验收合格之日起算，否则视为无效投标。在质保期内设备运行中发生问题的，中标设备如发生问题七日内包退，三十日内包换，质保期内设备维修两次以上还不能使用的，中标公司负责免费更换。质保期内维修、维护服务（整机配件+人工+现场），接到故障通知后2小时内响应，并在24小时内派工程师到达现场，48小时内修复故障。若48小时内无法排除故障的，应提供相应的备用设备，以保证正常使用，免收人工费，免收维修费。免费质保期满前1个月内中标公司需负责对所有中标设备进行一次免费全面检查，如发现潜在问题，中标公司负责排除，保证设备正常进行。中标人应承诺提供厂家售 后服务。在质保期内出现属设备质量问题，采购人则有权要求免费更换整机，更换的质保期从更换之日起相应顺延。</w:t>
      </w:r>
    </w:p>
    <w:p>
      <w:pPr>
        <w:pStyle w:val="1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50" w:afterAutospacing="0" w:line="360" w:lineRule="auto"/>
        <w:ind w:left="-180" w:right="-180"/>
        <w:textAlignment w:val="auto"/>
        <w:rPr>
          <w:rFonts w:ascii="宋体" w:hAnsi="宋体" w:eastAsia="宋体"/>
          <w:sz w:val="24"/>
          <w:szCs w:val="24"/>
        </w:rPr>
      </w:pPr>
      <w:r>
        <w:rPr>
          <w:rFonts w:hint="eastAsia" w:ascii="宋体" w:hAnsi="宋体" w:eastAsia="宋体" w:cs="宋体"/>
          <w:sz w:val="24"/>
          <w:szCs w:val="24"/>
          <w:shd w:val="clear" w:color="auto" w:fill="FFFFFF"/>
        </w:rPr>
        <w:t>2.2质保期满后的服务要求：质保期满后，中标人负责设备的终身维护并应继续提供优惠优质服务，维修响应时间4小时，并在48小时内派工程师到达现场。质保期结束后，中标人应在设备使用地区指 定有维修能力的代 理机构对设备在必要时进行定期维护和修理。质保期满后，根据用户需要双方可以签订维修合同，中标人仍应负责提供每年定期维护及终身提供技术维护和培训服务，并只能收取配件成本费，不收取维修费及差旅费。投标人应在投标文件中详细提供售 后服务承诺、保障措施、质保期内的维保范围和内容、质保期满后的维保服务内容，及服务费用的报价。投标人须在投标文件中承诺质保期满后的服务不收取上门服务人工及差旅费。</w:t>
      </w:r>
    </w:p>
    <w:p>
      <w:pPr>
        <w:widowControl/>
        <w:spacing w:line="240" w:lineRule="atLeast"/>
        <w:jc w:val="left"/>
        <w:rPr>
          <w:rFonts w:ascii="宋体" w:hAnsi="宋体" w:eastAsia="宋体" w:cs="宋体"/>
          <w:b/>
          <w:bCs/>
          <w:kern w:val="36"/>
          <w:sz w:val="48"/>
          <w:szCs w:val="48"/>
        </w:rPr>
      </w:pPr>
      <w:r>
        <w:rPr>
          <w:rFonts w:ascii="宋体" w:hAnsi="宋体" w:eastAsia="宋体"/>
        </w:rPr>
        <w:br w:type="page"/>
      </w:r>
    </w:p>
    <w:p>
      <w:pPr>
        <w:pStyle w:val="2"/>
      </w:pPr>
      <w:bookmarkStart w:id="5" w:name="_Toc25747447"/>
      <w:r>
        <w:t>第</w:t>
      </w:r>
      <w:r>
        <w:rPr>
          <w:rFonts w:hint="eastAsia"/>
        </w:rPr>
        <w:t>四</w:t>
      </w:r>
      <w:r>
        <w:t>章响应文件格式</w:t>
      </w:r>
      <w:bookmarkEnd w:id="5"/>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封面：</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采购货物项目</w:t>
      </w: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响应文件</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项目名称：</w:t>
      </w: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项目编号：</w:t>
      </w: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合同包：</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供应商名称：</w:t>
      </w:r>
    </w:p>
    <w:p>
      <w:pPr>
        <w:widowControl/>
        <w:shd w:val="clear" w:color="auto" w:fill="FFFFFF"/>
        <w:spacing w:line="360" w:lineRule="auto"/>
        <w:ind w:firstLine="2235"/>
        <w:jc w:val="left"/>
        <w:rPr>
          <w:rFonts w:ascii="宋体" w:hAnsi="宋体" w:eastAsia="宋体" w:cs="宋体"/>
          <w:bCs/>
          <w:kern w:val="0"/>
          <w:sz w:val="24"/>
          <w:szCs w:val="24"/>
        </w:rPr>
      </w:pPr>
      <w:r>
        <w:rPr>
          <w:rFonts w:hint="eastAsia" w:ascii="宋体" w:hAnsi="宋体" w:eastAsia="宋体" w:cs="宋体"/>
          <w:bCs/>
          <w:kern w:val="0"/>
          <w:sz w:val="24"/>
          <w:szCs w:val="24"/>
        </w:rPr>
        <w:t>日期</w:t>
      </w: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widowControl/>
        <w:shd w:val="clear" w:color="auto" w:fill="FFFFFF"/>
        <w:spacing w:line="360" w:lineRule="auto"/>
        <w:ind w:firstLine="2235"/>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ascii="宋体" w:hAnsi="宋体" w:eastAsia="宋体" w:cs="宋体"/>
          <w:kern w:val="0"/>
          <w:sz w:val="24"/>
          <w:szCs w:val="24"/>
        </w:rPr>
        <w:t>目录</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bCs/>
          <w:kern w:val="0"/>
          <w:sz w:val="24"/>
          <w:szCs w:val="24"/>
        </w:rPr>
        <w:t>1、报价一览表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2</w:t>
      </w:r>
      <w:r>
        <w:rPr>
          <w:rFonts w:ascii="宋体" w:hAnsi="宋体" w:eastAsia="宋体" w:cs="宋体"/>
          <w:bCs/>
          <w:kern w:val="0"/>
          <w:sz w:val="24"/>
          <w:szCs w:val="24"/>
        </w:rPr>
        <w:t>、分项报价表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3</w:t>
      </w:r>
      <w:r>
        <w:rPr>
          <w:rFonts w:ascii="宋体" w:hAnsi="宋体" w:eastAsia="宋体" w:cs="宋体"/>
          <w:bCs/>
          <w:kern w:val="0"/>
          <w:sz w:val="24"/>
          <w:szCs w:val="24"/>
        </w:rPr>
        <w:t>、资格证明文件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-1单位负责人授权书</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-2营业执照等证明文件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4</w:t>
      </w:r>
      <w:r>
        <w:rPr>
          <w:rFonts w:ascii="宋体" w:hAnsi="宋体" w:eastAsia="宋体" w:cs="宋体"/>
          <w:bCs/>
          <w:kern w:val="0"/>
          <w:sz w:val="24"/>
          <w:szCs w:val="24"/>
        </w:rPr>
        <w:t>、技术要求响应表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5</w:t>
      </w:r>
      <w:r>
        <w:rPr>
          <w:rFonts w:ascii="宋体" w:hAnsi="宋体" w:eastAsia="宋体" w:cs="宋体"/>
          <w:bCs/>
          <w:kern w:val="0"/>
          <w:sz w:val="24"/>
          <w:szCs w:val="24"/>
        </w:rPr>
        <w:t>、商务条件响应表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6</w:t>
      </w:r>
      <w:r>
        <w:rPr>
          <w:rFonts w:ascii="宋体" w:hAnsi="宋体" w:eastAsia="宋体" w:cs="宋体"/>
          <w:bCs/>
          <w:kern w:val="0"/>
          <w:sz w:val="24"/>
          <w:szCs w:val="24"/>
        </w:rPr>
        <w:t>、要求作为响应文件组成部分的其他材料（若有）</w:t>
      </w:r>
    </w:p>
    <w:p>
      <w:pPr>
        <w:widowControl/>
        <w:shd w:val="clear" w:color="auto" w:fill="FFFFFF"/>
        <w:spacing w:line="360" w:lineRule="auto"/>
        <w:jc w:val="center"/>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6" w:name="_Toc25747448"/>
      <w:r>
        <w:rPr>
          <w:rFonts w:cs="Calibri"/>
        </w:rPr>
        <w:t>一</w:t>
      </w:r>
      <w:r>
        <w:t>、投标函</w:t>
      </w:r>
      <w:bookmarkEnd w:id="6"/>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致：</w:t>
      </w:r>
      <w:r>
        <w:rPr>
          <w:rFonts w:ascii="宋体" w:hAnsi="宋体" w:eastAsia="宋体" w:cs="宋体"/>
          <w:kern w:val="0"/>
          <w:sz w:val="24"/>
          <w:szCs w:val="24"/>
          <w:u w:val="single"/>
        </w:rPr>
        <w:t>                     </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兹收到贵单位关于</w:t>
      </w:r>
      <w:r>
        <w:rPr>
          <w:rFonts w:ascii="宋体" w:hAnsi="宋体" w:eastAsia="宋体" w:cs="宋体"/>
          <w:kern w:val="0"/>
          <w:sz w:val="24"/>
          <w:szCs w:val="24"/>
          <w:u w:val="single"/>
        </w:rPr>
        <w:t>（填写“项目名称”）</w:t>
      </w:r>
      <w:r>
        <w:rPr>
          <w:rFonts w:ascii="宋体" w:hAnsi="宋体" w:eastAsia="宋体" w:cs="宋体"/>
          <w:kern w:val="0"/>
          <w:sz w:val="24"/>
          <w:szCs w:val="24"/>
        </w:rPr>
        <w:t>项目（招标编号：</w:t>
      </w:r>
      <w:r>
        <w:rPr>
          <w:rFonts w:ascii="宋体" w:hAnsi="宋体" w:eastAsia="宋体" w:cs="宋体"/>
          <w:kern w:val="0"/>
          <w:sz w:val="24"/>
          <w:szCs w:val="24"/>
          <w:u w:val="single"/>
        </w:rPr>
        <w:t>     </w:t>
      </w:r>
      <w:r>
        <w:rPr>
          <w:rFonts w:ascii="宋体" w:hAnsi="宋体" w:eastAsia="宋体" w:cs="宋体"/>
          <w:kern w:val="0"/>
          <w:sz w:val="24"/>
          <w:szCs w:val="24"/>
        </w:rPr>
        <w:t>）的投标邀请，本投标人代表</w:t>
      </w:r>
      <w:r>
        <w:rPr>
          <w:rFonts w:ascii="宋体" w:hAnsi="宋体" w:eastAsia="宋体" w:cs="宋体"/>
          <w:kern w:val="0"/>
          <w:sz w:val="24"/>
          <w:szCs w:val="24"/>
          <w:u w:val="single"/>
        </w:rPr>
        <w:t>（填写“全名”）</w:t>
      </w:r>
      <w:r>
        <w:rPr>
          <w:rFonts w:ascii="宋体" w:hAnsi="宋体" w:eastAsia="宋体" w:cs="宋体"/>
          <w:kern w:val="0"/>
          <w:sz w:val="24"/>
          <w:szCs w:val="24"/>
        </w:rPr>
        <w:t>已获得我方正式授权并代表投标人</w:t>
      </w:r>
      <w:r>
        <w:rPr>
          <w:rFonts w:ascii="宋体" w:hAnsi="宋体" w:eastAsia="宋体" w:cs="宋体"/>
          <w:kern w:val="0"/>
          <w:sz w:val="24"/>
          <w:szCs w:val="24"/>
          <w:u w:val="single"/>
        </w:rPr>
        <w:t>（填写“全称”）</w:t>
      </w:r>
      <w:r>
        <w:rPr>
          <w:rFonts w:ascii="宋体" w:hAnsi="宋体" w:eastAsia="宋体" w:cs="宋体"/>
          <w:kern w:val="0"/>
          <w:sz w:val="24"/>
          <w:szCs w:val="24"/>
        </w:rPr>
        <w:t>参加投标，并提交招标文件规定份数的投标文件正本和副本。我方提交的全部投标文件均由下述部分组成：</w:t>
      </w:r>
    </w:p>
    <w:p>
      <w:pPr>
        <w:widowControl/>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（1）投标函</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（2）报价一览表</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（3）分项报价表</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投标人的资格及资信证明文件</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（5）技术及商务要求响应表</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（6）售后服务承诺函</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根据本函，本投标人代表宣布我方保证遵守招标文件的全部规定，同时：</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1、</w:t>
      </w:r>
      <w:r>
        <w:rPr>
          <w:rFonts w:ascii="宋体" w:hAnsi="宋体" w:eastAsia="宋体" w:cs="宋体"/>
          <w:b/>
          <w:bCs/>
          <w:kern w:val="0"/>
          <w:sz w:val="24"/>
          <w:szCs w:val="24"/>
        </w:rPr>
        <w:t>确认：</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1.1所投合同包的投标报价详见“</w:t>
      </w:r>
      <w:r>
        <w:rPr>
          <w:rFonts w:hint="eastAsia" w:ascii="宋体" w:hAnsi="宋体" w:eastAsia="宋体" w:cs="宋体"/>
          <w:kern w:val="0"/>
          <w:sz w:val="24"/>
          <w:szCs w:val="24"/>
        </w:rPr>
        <w:t>报价</w:t>
      </w:r>
      <w:r>
        <w:rPr>
          <w:rFonts w:ascii="宋体" w:hAnsi="宋体" w:eastAsia="宋体" w:cs="宋体"/>
          <w:kern w:val="0"/>
          <w:sz w:val="24"/>
          <w:szCs w:val="24"/>
        </w:rPr>
        <w:t>一览表”及“分项报价表”。</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1.2我方已详细审查全部招标文件</w:t>
      </w:r>
      <w:r>
        <w:rPr>
          <w:rFonts w:ascii="宋体" w:hAnsi="宋体" w:eastAsia="宋体" w:cs="Calibri"/>
          <w:kern w:val="0"/>
          <w:sz w:val="24"/>
          <w:szCs w:val="24"/>
        </w:rPr>
        <w:t>[</w:t>
      </w:r>
      <w:r>
        <w:rPr>
          <w:rFonts w:ascii="宋体" w:hAnsi="宋体" w:eastAsia="宋体" w:cs="宋体"/>
          <w:kern w:val="0"/>
          <w:sz w:val="24"/>
          <w:szCs w:val="24"/>
        </w:rPr>
        <w:t>包括但不限于：有关附件（若有）、澄清或修改（若有）等</w:t>
      </w:r>
      <w:r>
        <w:rPr>
          <w:rFonts w:ascii="宋体" w:hAnsi="宋体" w:eastAsia="宋体" w:cs="Calibri"/>
          <w:kern w:val="0"/>
          <w:sz w:val="24"/>
          <w:szCs w:val="24"/>
        </w:rPr>
        <w:t>]</w:t>
      </w:r>
      <w:r>
        <w:rPr>
          <w:rFonts w:ascii="宋体" w:hAnsi="宋体" w:eastAsia="宋体" w:cs="宋体"/>
          <w:kern w:val="0"/>
          <w:sz w:val="24"/>
          <w:szCs w:val="24"/>
        </w:rPr>
        <w:t>，并自行承担因对全部招标文件理解不正确或误解而产生的相应后果和责任。</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ascii="宋体" w:hAnsi="宋体" w:eastAsia="宋体" w:cs="宋体"/>
          <w:b/>
          <w:bCs/>
          <w:kern w:val="0"/>
          <w:sz w:val="24"/>
          <w:szCs w:val="24"/>
        </w:rPr>
        <w:t>承诺及声明：</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2.1我方具备招标文件第一章载明的“投标人的资格要求”且符合招标文件载明的“投标人”之规定，否则</w:t>
      </w:r>
      <w:r>
        <w:rPr>
          <w:rFonts w:ascii="宋体" w:hAnsi="宋体" w:eastAsia="宋体" w:cs="宋体"/>
          <w:b/>
          <w:bCs/>
          <w:kern w:val="0"/>
          <w:sz w:val="24"/>
          <w:szCs w:val="24"/>
        </w:rPr>
        <w:t>投标无效。</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2.2我方提交的投标文件各组成部分的全部内容及资料是不可割离且真实、有效、准确、完整和不具有任何误导性的，否则产生不利后果由我方承担责任。</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3</w:t>
      </w:r>
      <w:r>
        <w:rPr>
          <w:rFonts w:ascii="宋体" w:hAnsi="宋体" w:eastAsia="宋体" w:cs="宋体"/>
          <w:kern w:val="0"/>
          <w:sz w:val="24"/>
          <w:szCs w:val="24"/>
        </w:rPr>
        <w:t>投标有效期：按照招标文件规定执行，并在招标文件第二章载明的期限内保持有效。</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4</w:t>
      </w:r>
      <w:r>
        <w:rPr>
          <w:rFonts w:ascii="宋体" w:hAnsi="宋体" w:eastAsia="宋体" w:cs="宋体"/>
          <w:kern w:val="0"/>
          <w:sz w:val="24"/>
          <w:szCs w:val="24"/>
        </w:rPr>
        <w:t>若中标，将按照招标文件、我方投标文件及政府采购合同履行责任和义务。</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5</w:t>
      </w:r>
      <w:r>
        <w:rPr>
          <w:rFonts w:ascii="宋体" w:hAnsi="宋体" w:eastAsia="宋体" w:cs="宋体"/>
          <w:kern w:val="0"/>
          <w:sz w:val="24"/>
          <w:szCs w:val="24"/>
        </w:rPr>
        <w:t>若贵单位要求，我方同意提供与本项目投标有关的一切资料、数据或文件，并完全理解贵单位不一定要接受最低的投标报价或收到的任何投标。</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6与本投标有关的一切正式往来通讯信息</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通信地址：</w:t>
      </w:r>
      <w:r>
        <w:rPr>
          <w:rFonts w:ascii="宋体" w:hAnsi="宋体" w:eastAsia="宋体" w:cs="宋体"/>
          <w:kern w:val="0"/>
          <w:sz w:val="24"/>
          <w:szCs w:val="24"/>
          <w:u w:val="single"/>
        </w:rPr>
        <w:t>             </w:t>
      </w:r>
      <w:r>
        <w:rPr>
          <w:rFonts w:ascii="宋体" w:hAnsi="宋体" w:eastAsia="宋体" w:cs="宋体"/>
          <w:kern w:val="0"/>
          <w:sz w:val="24"/>
          <w:szCs w:val="24"/>
        </w:rPr>
        <w:t>邮编：</w:t>
      </w:r>
      <w:r>
        <w:rPr>
          <w:rFonts w:ascii="宋体" w:hAnsi="宋体" w:eastAsia="宋体" w:cs="宋体"/>
          <w:kern w:val="0"/>
          <w:sz w:val="24"/>
          <w:szCs w:val="24"/>
          <w:u w:val="single"/>
        </w:rPr>
        <w:t>      </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联系方法：</w:t>
      </w:r>
      <w:r>
        <w:rPr>
          <w:rFonts w:ascii="宋体" w:hAnsi="宋体" w:eastAsia="宋体" w:cs="宋体"/>
          <w:kern w:val="0"/>
          <w:sz w:val="24"/>
          <w:szCs w:val="24"/>
          <w:u w:val="single"/>
        </w:rPr>
        <w:t>（包括但不限于：联系人、联系电话、手机、传真、电子邮箱等）</w:t>
      </w:r>
    </w:p>
    <w:p>
      <w:pPr>
        <w:widowControl/>
        <w:spacing w:line="360" w:lineRule="auto"/>
        <w:ind w:firstLine="420"/>
        <w:jc w:val="left"/>
        <w:rPr>
          <w:rFonts w:ascii="宋体" w:hAnsi="宋体" w:eastAsia="宋体" w:cs="宋体"/>
          <w:kern w:val="0"/>
          <w:sz w:val="24"/>
          <w:szCs w:val="24"/>
        </w:rPr>
      </w:pP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投标人：</w:t>
      </w:r>
      <w:r>
        <w:rPr>
          <w:rFonts w:ascii="宋体" w:hAnsi="宋体" w:eastAsia="宋体" w:cs="宋体"/>
          <w:kern w:val="0"/>
          <w:sz w:val="24"/>
          <w:szCs w:val="24"/>
          <w:u w:val="single"/>
        </w:rPr>
        <w:t>（全称并加盖单位公章）</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投标人代表签字：</w:t>
      </w:r>
      <w:r>
        <w:rPr>
          <w:rFonts w:ascii="宋体" w:hAnsi="宋体" w:eastAsia="宋体" w:cs="宋体"/>
          <w:kern w:val="0"/>
          <w:sz w:val="24"/>
          <w:szCs w:val="24"/>
          <w:u w:val="single"/>
        </w:rPr>
        <w:t>          </w:t>
      </w:r>
    </w:p>
    <w:p>
      <w:pPr>
        <w:widowControl/>
        <w:spacing w:line="360" w:lineRule="auto"/>
        <w:jc w:val="right"/>
        <w:rPr>
          <w:rFonts w:ascii="宋体" w:hAnsi="宋体" w:eastAsia="宋体" w:cs="宋体"/>
          <w:kern w:val="0"/>
          <w:sz w:val="24"/>
          <w:szCs w:val="24"/>
        </w:rPr>
      </w:pPr>
      <w:r>
        <w:rPr>
          <w:rFonts w:ascii="宋体" w:hAnsi="宋体" w:eastAsia="宋体" w:cs="宋体"/>
          <w:kern w:val="0"/>
          <w:sz w:val="24"/>
          <w:szCs w:val="24"/>
        </w:rPr>
        <w:t>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spacing w:line="360" w:lineRule="auto"/>
        <w:jc w:val="left"/>
        <w:rPr>
          <w:rFonts w:ascii="宋体" w:hAnsi="宋体" w:eastAsia="宋体" w:cs="宋体"/>
          <w:kern w:val="0"/>
          <w:sz w:val="24"/>
          <w:szCs w:val="24"/>
        </w:rPr>
      </w:pP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7" w:name="_Toc25747449"/>
      <w:r>
        <w:rPr>
          <w:rFonts w:hint="eastAsia"/>
        </w:rPr>
        <w:t>二</w:t>
      </w:r>
      <w:r>
        <w:t>、报价表</w:t>
      </w:r>
      <w:bookmarkEnd w:id="7"/>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ind w:right="840"/>
        <w:jc w:val="lef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4"/>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840"/>
        <w:gridCol w:w="840"/>
        <w:gridCol w:w="1050"/>
        <w:gridCol w:w="975"/>
        <w:gridCol w:w="720"/>
        <w:gridCol w:w="1080"/>
        <w:gridCol w:w="720"/>
        <w:gridCol w:w="1080"/>
        <w:gridCol w:w="7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5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97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品牌及具体型号</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生产</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产地</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单价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3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1、供应商若未按照此格式填写详细分项报价；此外，若货物为节能清单产品，则本表所填品牌应与节能清单所列品牌名称一致。</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2、若询价通知书要求供应商对“备品备件价格、专用工具价格、技术服务费、安装调试费、检验培训费、运输费、保险费、税收”等进行报价的，请在本表的“备注”栏中填写。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8" w:name="_Toc25747450"/>
      <w:r>
        <w:rPr>
          <w:rFonts w:hint="eastAsia"/>
        </w:rPr>
        <w:t>三、资格证明文件</w:t>
      </w:r>
      <w:bookmarkEnd w:id="8"/>
    </w:p>
    <w:p>
      <w:pPr>
        <w:pStyle w:val="4"/>
      </w:pPr>
      <w:bookmarkStart w:id="9" w:name="_Toc25747451"/>
      <w:r>
        <w:rPr>
          <w:rFonts w:hint="eastAsia"/>
        </w:rPr>
        <w:t>3</w:t>
      </w:r>
      <w:r>
        <w:t>-1单位负责人授权书（若有）</w:t>
      </w:r>
      <w:bookmarkEnd w:id="9"/>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致：</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我方的单位负责人（填写“单位负责人全名”）授权（填写“投标人代表全名”）为投标人代表，代表我方参加（填写“项目名称”）项目（招标编号：</w:t>
      </w:r>
      <w:r>
        <w:rPr>
          <w:rFonts w:ascii="宋体" w:hAnsi="宋体" w:eastAsia="宋体" w:cs="宋体"/>
          <w:kern w:val="0"/>
          <w:sz w:val="24"/>
          <w:szCs w:val="24"/>
        </w:rPr>
        <w:t xml:space="preserve">         ）的投标，全权代表我方处理投标过程的一切事宜，包括但不限于：投标、参加开标、谈判、澄清、签约等。投标人代表在投标过程中所签署的一切文件和处理与之有关的一切事务，我方均予以认可并对此承担责任。</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投标人代表无转委权。特此授权。</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（以下无正文）</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投标人：（全称并加盖单位公章）</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单位负责人签字或盖章：</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接受授权方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投标人代表签字：</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签署日期：</w:t>
      </w:r>
      <w:r>
        <w:rPr>
          <w:rFonts w:ascii="宋体" w:hAnsi="宋体" w:eastAsia="宋体" w:cs="宋体"/>
          <w:kern w:val="0"/>
          <w:sz w:val="24"/>
          <w:szCs w:val="24"/>
        </w:rPr>
        <w:t xml:space="preserve">    年   月   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附：单位负责人、投标人代表的身份证正反面复印件</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要求：真实有效且内容完整、清晰、整洁。</w:t>
      </w:r>
    </w:p>
    <w:p>
      <w:pPr>
        <w:widowControl/>
        <w:shd w:val="clear" w:color="auto" w:fill="FFFFFF"/>
        <w:spacing w:line="360" w:lineRule="auto"/>
        <w:jc w:val="left"/>
        <w:rPr>
          <w:rFonts w:ascii="宋体" w:hAnsi="宋体" w:eastAsia="宋体" w:cs="宋体"/>
          <w:kern w:val="0"/>
          <w:sz w:val="24"/>
          <w:szCs w:val="24"/>
        </w:rPr>
      </w:pPr>
    </w:p>
    <w:p>
      <w:pPr>
        <w:pStyle w:val="4"/>
      </w:pPr>
      <w:bookmarkStart w:id="10" w:name="_Toc25747452"/>
      <w:r>
        <w:rPr>
          <w:rFonts w:hint="eastAsia"/>
        </w:rPr>
        <w:t>3</w:t>
      </w:r>
      <w:r>
        <w:t>-2营业执照等证明文件</w:t>
      </w:r>
      <w:bookmarkEnd w:id="10"/>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致：</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（）供应商为法人（包括企业、事业单位和社会团体）的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签发的我方统一社会信用代码</w:t>
      </w:r>
      <w:r>
        <w:rPr>
          <w:rFonts w:ascii="宋体" w:hAnsi="宋体" w:eastAsia="宋体" w:cs="宋体"/>
          <w:kern w:val="0"/>
          <w:sz w:val="24"/>
          <w:szCs w:val="24"/>
          <w:u w:val="single"/>
        </w:rPr>
        <w:t>（请填写法人的具体证照名称）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（）供应商为非法人（包括其他组织、自然人）的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（请填写非自然人的非法人的具体证照名称）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（请填写自然人的身份证件名称）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11" w:name="_Toc25747453"/>
      <w:r>
        <w:rPr>
          <w:rFonts w:hint="eastAsia"/>
        </w:rPr>
        <w:t>四</w:t>
      </w:r>
      <w:r>
        <w:t>、技术要求响应表</w:t>
      </w:r>
      <w:bookmarkEnd w:id="11"/>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4"/>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jc w:val="left"/>
        <w:rPr>
          <w:rFonts w:ascii="宋体" w:hAnsi="宋体" w:eastAsia="宋体" w:cs="宋体"/>
          <w:bCs/>
          <w:kern w:val="0"/>
          <w:sz w:val="24"/>
          <w:szCs w:val="24"/>
        </w:rPr>
      </w:pPr>
      <w:r>
        <w:rPr>
          <w:rFonts w:ascii="宋体" w:hAnsi="宋体" w:eastAsia="宋体" w:cs="宋体"/>
          <w:bCs/>
          <w:kern w:val="0"/>
          <w:sz w:val="24"/>
          <w:szCs w:val="24"/>
        </w:rPr>
        <w:br w:type="page"/>
      </w:r>
    </w:p>
    <w:p>
      <w:pPr>
        <w:pStyle w:val="3"/>
      </w:pPr>
      <w:bookmarkStart w:id="12" w:name="_Toc25747454"/>
      <w:r>
        <w:rPr>
          <w:rFonts w:hint="eastAsia"/>
        </w:rPr>
        <w:t>五</w:t>
      </w:r>
      <w:r>
        <w:t>、商务条件响应表</w:t>
      </w:r>
      <w:bookmarkEnd w:id="12"/>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4"/>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3"/>
      </w:pPr>
      <w:bookmarkStart w:id="13" w:name="_Toc25747455"/>
      <w:r>
        <w:rPr>
          <w:rFonts w:hint="eastAsia"/>
        </w:rPr>
        <w:t>六</w:t>
      </w:r>
      <w:r>
        <w:t>、</w:t>
      </w:r>
      <w:r>
        <w:rPr>
          <w:rFonts w:hint="eastAsia"/>
        </w:rPr>
        <w:t>售后服务承诺函</w:t>
      </w:r>
      <w:bookmarkEnd w:id="13"/>
    </w:p>
    <w:p>
      <w:pPr>
        <w:widowControl/>
        <w:shd w:val="clear" w:color="auto" w:fill="FFFFFF"/>
        <w:spacing w:line="360" w:lineRule="auto"/>
        <w:ind w:right="420"/>
        <w:jc w:val="left"/>
        <w:rPr>
          <w:rFonts w:ascii="宋体" w:hAnsi="宋体" w:eastAsia="宋体" w:cs="宋体"/>
          <w:kern w:val="0"/>
          <w:sz w:val="24"/>
          <w:szCs w:val="24"/>
          <w:u w:val="single"/>
        </w:rPr>
      </w:pPr>
      <w:r>
        <w:rPr>
          <w:rFonts w:hint="eastAsia" w:ascii="宋体" w:hAnsi="宋体" w:eastAsia="宋体" w:cs="宋体"/>
          <w:kern w:val="0"/>
          <w:sz w:val="24"/>
          <w:szCs w:val="24"/>
        </w:rPr>
        <w:t>致：</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本次项目若我司中标，我司承诺按如下要求提供售后服务：</w:t>
      </w:r>
    </w:p>
    <w:p>
      <w:pPr>
        <w:widowControl/>
        <w:shd w:val="clear" w:color="auto" w:fill="FFFFFF"/>
        <w:spacing w:line="360" w:lineRule="auto"/>
        <w:ind w:right="420"/>
        <w:jc w:val="left"/>
        <w:rPr>
          <w:rFonts w:ascii="宋体" w:hAnsi="宋体" w:eastAsia="宋体" w:cs="宋体"/>
          <w:kern w:val="0"/>
          <w:sz w:val="24"/>
          <w:szCs w:val="24"/>
        </w:rPr>
      </w:pPr>
      <w:r>
        <w:rPr>
          <w:rFonts w:hint="eastAsia" w:ascii="宋体" w:hAnsi="宋体" w:eastAsia="宋体" w:cs="宋体"/>
          <w:kern w:val="0"/>
          <w:sz w:val="24"/>
          <w:szCs w:val="24"/>
        </w:rPr>
        <w:t>一、【</w:t>
      </w:r>
      <w:r>
        <w:rPr>
          <w:rFonts w:hint="eastAsia" w:ascii="宋体" w:hAnsi="宋体" w:eastAsia="宋体" w:cs="宋体"/>
          <w:color w:val="FF0000"/>
          <w:kern w:val="0"/>
          <w:sz w:val="24"/>
          <w:szCs w:val="24"/>
          <w:highlight w:val="yellow"/>
        </w:rPr>
        <w:t>按不低于业主要求我司提供的售后服务标准列出</w:t>
      </w:r>
      <w:r>
        <w:rPr>
          <w:rFonts w:hint="eastAsia" w:ascii="宋体" w:hAnsi="宋体" w:eastAsia="宋体" w:cs="宋体"/>
          <w:kern w:val="0"/>
          <w:sz w:val="24"/>
          <w:szCs w:val="24"/>
        </w:rPr>
        <w:t>】</w:t>
      </w:r>
    </w:p>
    <w:p>
      <w:pPr>
        <w:widowControl/>
        <w:shd w:val="clear" w:color="auto" w:fill="FFFFFF"/>
        <w:spacing w:line="360" w:lineRule="auto"/>
        <w:ind w:right="420"/>
        <w:jc w:val="left"/>
        <w:rPr>
          <w:rFonts w:ascii="宋体" w:hAnsi="宋体" w:eastAsia="宋体" w:cs="宋体"/>
          <w:color w:val="FF0000"/>
          <w:kern w:val="0"/>
          <w:sz w:val="24"/>
          <w:szCs w:val="24"/>
        </w:rPr>
      </w:pPr>
      <w:r>
        <w:rPr>
          <w:rFonts w:hint="eastAsia" w:ascii="宋体" w:hAnsi="宋体" w:eastAsia="宋体" w:cs="宋体"/>
          <w:kern w:val="0"/>
          <w:sz w:val="24"/>
          <w:szCs w:val="24"/>
        </w:rPr>
        <w:t>二、</w:t>
      </w:r>
      <w:r>
        <w:rPr>
          <w:rFonts w:hint="eastAsia" w:ascii="宋体" w:hAnsi="宋体" w:eastAsia="宋体" w:cs="宋体"/>
          <w:kern w:val="0"/>
          <w:sz w:val="24"/>
          <w:szCs w:val="24"/>
          <w:highlight w:val="yellow"/>
        </w:rPr>
        <w:t>中标后按要求向贵司提供项目所需相关佐证材料。</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供应商代表：</w:t>
      </w:r>
      <w:r>
        <w:rPr>
          <w:rFonts w:ascii="宋体" w:hAnsi="宋体" w:eastAsia="宋体" w:cs="宋体"/>
          <w:kern w:val="0"/>
          <w:sz w:val="24"/>
          <w:szCs w:val="24"/>
          <w:u w:val="single"/>
        </w:rPr>
        <w:t>（签字）</w:t>
      </w: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供应商名称：</w:t>
      </w:r>
      <w:r>
        <w:rPr>
          <w:rFonts w:ascii="宋体" w:hAnsi="宋体" w:eastAsia="宋体" w:cs="宋体"/>
          <w:kern w:val="0"/>
          <w:sz w:val="24"/>
          <w:szCs w:val="24"/>
          <w:u w:val="single"/>
        </w:rPr>
        <w:t>（全称并加盖公章）</w:t>
      </w:r>
    </w:p>
    <w:p>
      <w:pPr>
        <w:widowControl/>
        <w:shd w:val="clear" w:color="auto" w:fill="FFFFFF"/>
        <w:spacing w:line="360" w:lineRule="auto"/>
        <w:ind w:right="420"/>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ind w:right="420" w:firstLine="480" w:firstLineChars="200"/>
        <w:jc w:val="left"/>
        <w:rPr>
          <w:rFonts w:ascii="宋体" w:hAnsi="宋体" w:eastAsia="宋体"/>
          <w:sz w:val="24"/>
          <w:szCs w:val="24"/>
        </w:rPr>
      </w:pPr>
    </w:p>
    <w:p>
      <w:pPr>
        <w:keepNext w:val="0"/>
        <w:keepLines w:val="0"/>
        <w:widowControl/>
        <w:suppressLineNumbers w:val="0"/>
        <w:ind w:left="-180" w:right="-180"/>
        <w:jc w:val="left"/>
      </w:pPr>
      <w:bookmarkStart w:id="14" w:name="_GoBack"/>
      <w:bookmarkEnd w:id="14"/>
      <w:r>
        <w:rPr>
          <w:rFonts w:hint="default" w:ascii="Calibri" w:hAnsi="Calibri" w:eastAsia="宋体" w:cs="Calibri"/>
          <w:spacing w:val="0"/>
          <w:kern w:val="0"/>
          <w:sz w:val="21"/>
          <w:szCs w:val="21"/>
          <w:lang w:val="en-US" w:eastAsia="zh-CN" w:bidi="ar"/>
        </w:rPr>
        <w:t> </w:t>
      </w:r>
    </w:p>
    <w:p>
      <w:pPr>
        <w:pStyle w:val="13"/>
        <w:keepNext w:val="0"/>
        <w:keepLines w:val="0"/>
        <w:widowControl/>
        <w:suppressLineNumbers w:val="0"/>
        <w:spacing w:before="75" w:beforeAutospacing="0" w:after="75" w:afterAutospacing="0"/>
        <w:ind w:left="-180" w:right="-180" w:firstLine="0"/>
      </w:pPr>
      <w:r>
        <w:rPr>
          <w:rFonts w:hint="default" w:ascii="Calibri" w:hAnsi="Calibri" w:cs="Calibri"/>
          <w:spacing w:val="0"/>
          <w:sz w:val="21"/>
          <w:szCs w:val="21"/>
        </w:rPr>
        <w:t> </w:t>
      </w:r>
    </w:p>
    <w:p>
      <w:pPr>
        <w:pStyle w:val="13"/>
        <w:keepNext w:val="0"/>
        <w:keepLines w:val="0"/>
        <w:widowControl/>
        <w:suppressLineNumbers w:val="0"/>
        <w:ind w:right="-180"/>
      </w:pPr>
    </w:p>
    <w:p>
      <w:pPr>
        <w:widowControl/>
        <w:shd w:val="clear" w:color="auto" w:fill="FFFFFF"/>
        <w:spacing w:line="360" w:lineRule="auto"/>
        <w:ind w:right="420"/>
        <w:jc w:val="left"/>
        <w:rPr>
          <w:rFonts w:ascii="宋体" w:hAnsi="宋体" w:eastAsia="宋体"/>
          <w:sz w:val="24"/>
          <w:szCs w:val="24"/>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Light">
    <w:altName w:val="宋体"/>
    <w:panose1 w:val="00000000000000000000"/>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Segoe UI Symbol">
    <w:panose1 w:val="020B0502040204020203"/>
    <w:charset w:val="00"/>
    <w:family w:val="swiss"/>
    <w:pitch w:val="default"/>
    <w:sig w:usb0="8000006F" w:usb1="1200FBEF" w:usb2="0064C000" w:usb3="00000002" w:csb0="00000001" w:csb1="4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Open Sans">
    <w:altName w:val="Times New Roman"/>
    <w:panose1 w:val="00000000000000000000"/>
    <w:charset w:val="00"/>
    <w:family w:val="auto"/>
    <w:pitch w:val="default"/>
    <w:sig w:usb0="00000000" w:usb1="00000000" w:usb2="00000000"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b/>
      </w:rPr>
    </w:pPr>
    <w:r>
      <w:rPr>
        <w:b/>
      </w:rPr>
      <w:fldChar w:fldCharType="begin"/>
    </w:r>
    <w:r>
      <w:rPr>
        <w:b/>
      </w:rPr>
      <w:instrText xml:space="preserve">PAGE   \* MERGEFORMAT</w:instrText>
    </w:r>
    <w:r>
      <w:rPr>
        <w:b/>
      </w:rPr>
      <w:fldChar w:fldCharType="separate"/>
    </w:r>
    <w:r>
      <w:rPr>
        <w:b/>
        <w:lang w:val="zh-CN"/>
      </w:rPr>
      <w:t>20</w:t>
    </w:r>
    <w:r>
      <w:rPr>
        <w:b/>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94BD0"/>
    <w:multiLevelType w:val="singleLevel"/>
    <w:tmpl w:val="5A094BD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7CA"/>
    <w:rsid w:val="000036C7"/>
    <w:rsid w:val="00032E96"/>
    <w:rsid w:val="00046135"/>
    <w:rsid w:val="00046190"/>
    <w:rsid w:val="0005217F"/>
    <w:rsid w:val="000B2720"/>
    <w:rsid w:val="000D4EB6"/>
    <w:rsid w:val="000E0FCA"/>
    <w:rsid w:val="000E455D"/>
    <w:rsid w:val="000F7ACF"/>
    <w:rsid w:val="00103BD2"/>
    <w:rsid w:val="00123166"/>
    <w:rsid w:val="0014365B"/>
    <w:rsid w:val="0017315B"/>
    <w:rsid w:val="00193F3E"/>
    <w:rsid w:val="001A3FC7"/>
    <w:rsid w:val="001B76B8"/>
    <w:rsid w:val="001C3959"/>
    <w:rsid w:val="001C4333"/>
    <w:rsid w:val="001F30E9"/>
    <w:rsid w:val="001F67CA"/>
    <w:rsid w:val="002316CC"/>
    <w:rsid w:val="00245A9D"/>
    <w:rsid w:val="00254175"/>
    <w:rsid w:val="002549B9"/>
    <w:rsid w:val="002604CB"/>
    <w:rsid w:val="002616B8"/>
    <w:rsid w:val="00274D3A"/>
    <w:rsid w:val="00275081"/>
    <w:rsid w:val="00276D70"/>
    <w:rsid w:val="00283579"/>
    <w:rsid w:val="002924DF"/>
    <w:rsid w:val="00292804"/>
    <w:rsid w:val="0029289D"/>
    <w:rsid w:val="002A696C"/>
    <w:rsid w:val="002B2AF9"/>
    <w:rsid w:val="002E2ECD"/>
    <w:rsid w:val="002E4F30"/>
    <w:rsid w:val="002F0A50"/>
    <w:rsid w:val="002F44F2"/>
    <w:rsid w:val="003050C5"/>
    <w:rsid w:val="003421C6"/>
    <w:rsid w:val="00373874"/>
    <w:rsid w:val="0038064A"/>
    <w:rsid w:val="00384135"/>
    <w:rsid w:val="003B2396"/>
    <w:rsid w:val="003B75F5"/>
    <w:rsid w:val="003C2CA3"/>
    <w:rsid w:val="003D03C7"/>
    <w:rsid w:val="003E35C2"/>
    <w:rsid w:val="003F2F4D"/>
    <w:rsid w:val="003F6C62"/>
    <w:rsid w:val="00407E2C"/>
    <w:rsid w:val="0041229E"/>
    <w:rsid w:val="00417DC2"/>
    <w:rsid w:val="004277D0"/>
    <w:rsid w:val="004505A3"/>
    <w:rsid w:val="004542A1"/>
    <w:rsid w:val="00497D6F"/>
    <w:rsid w:val="004B2633"/>
    <w:rsid w:val="004B3DAD"/>
    <w:rsid w:val="004B3F97"/>
    <w:rsid w:val="004D0662"/>
    <w:rsid w:val="004D665D"/>
    <w:rsid w:val="004E1853"/>
    <w:rsid w:val="005005FE"/>
    <w:rsid w:val="00504674"/>
    <w:rsid w:val="005056C3"/>
    <w:rsid w:val="00516444"/>
    <w:rsid w:val="00520BA6"/>
    <w:rsid w:val="00543730"/>
    <w:rsid w:val="0055358B"/>
    <w:rsid w:val="005624F3"/>
    <w:rsid w:val="005821CA"/>
    <w:rsid w:val="005B4772"/>
    <w:rsid w:val="005D5D8E"/>
    <w:rsid w:val="005E7B4D"/>
    <w:rsid w:val="005E7BAB"/>
    <w:rsid w:val="005F3FFD"/>
    <w:rsid w:val="0060325D"/>
    <w:rsid w:val="0062243F"/>
    <w:rsid w:val="0066787A"/>
    <w:rsid w:val="00691F96"/>
    <w:rsid w:val="006966E6"/>
    <w:rsid w:val="006A148F"/>
    <w:rsid w:val="006C5043"/>
    <w:rsid w:val="007064F2"/>
    <w:rsid w:val="007156DD"/>
    <w:rsid w:val="007248C4"/>
    <w:rsid w:val="00734B3B"/>
    <w:rsid w:val="00740EC3"/>
    <w:rsid w:val="00793D48"/>
    <w:rsid w:val="007A5574"/>
    <w:rsid w:val="007C228C"/>
    <w:rsid w:val="007C386F"/>
    <w:rsid w:val="007C3B30"/>
    <w:rsid w:val="007E218F"/>
    <w:rsid w:val="007F23C2"/>
    <w:rsid w:val="0080797A"/>
    <w:rsid w:val="00813FFE"/>
    <w:rsid w:val="00822B80"/>
    <w:rsid w:val="00822C1E"/>
    <w:rsid w:val="00845AA4"/>
    <w:rsid w:val="00851277"/>
    <w:rsid w:val="00857022"/>
    <w:rsid w:val="00857E45"/>
    <w:rsid w:val="00871596"/>
    <w:rsid w:val="00887F0A"/>
    <w:rsid w:val="00893B30"/>
    <w:rsid w:val="008A21EB"/>
    <w:rsid w:val="008C30AA"/>
    <w:rsid w:val="008C3B7A"/>
    <w:rsid w:val="008D0DA2"/>
    <w:rsid w:val="008D115D"/>
    <w:rsid w:val="008E46F3"/>
    <w:rsid w:val="008F62F8"/>
    <w:rsid w:val="00916232"/>
    <w:rsid w:val="009270AD"/>
    <w:rsid w:val="00930A65"/>
    <w:rsid w:val="009314B8"/>
    <w:rsid w:val="009332C9"/>
    <w:rsid w:val="0097173B"/>
    <w:rsid w:val="009856AD"/>
    <w:rsid w:val="009A3126"/>
    <w:rsid w:val="009F35B6"/>
    <w:rsid w:val="009F76F7"/>
    <w:rsid w:val="00A06752"/>
    <w:rsid w:val="00A31903"/>
    <w:rsid w:val="00A477CE"/>
    <w:rsid w:val="00A67A3F"/>
    <w:rsid w:val="00A72C8F"/>
    <w:rsid w:val="00A84541"/>
    <w:rsid w:val="00A8667D"/>
    <w:rsid w:val="00A96785"/>
    <w:rsid w:val="00AA3625"/>
    <w:rsid w:val="00AB05AF"/>
    <w:rsid w:val="00AB2854"/>
    <w:rsid w:val="00AE2578"/>
    <w:rsid w:val="00AF7D1C"/>
    <w:rsid w:val="00B00EAA"/>
    <w:rsid w:val="00B070A6"/>
    <w:rsid w:val="00B55749"/>
    <w:rsid w:val="00B67D98"/>
    <w:rsid w:val="00B75944"/>
    <w:rsid w:val="00B7665D"/>
    <w:rsid w:val="00B800FC"/>
    <w:rsid w:val="00B9706C"/>
    <w:rsid w:val="00BA7C84"/>
    <w:rsid w:val="00BB221D"/>
    <w:rsid w:val="00BC6834"/>
    <w:rsid w:val="00BF2656"/>
    <w:rsid w:val="00C0298F"/>
    <w:rsid w:val="00C0619D"/>
    <w:rsid w:val="00C166BF"/>
    <w:rsid w:val="00C203A4"/>
    <w:rsid w:val="00C316D3"/>
    <w:rsid w:val="00C733FE"/>
    <w:rsid w:val="00CB293A"/>
    <w:rsid w:val="00CB5CE4"/>
    <w:rsid w:val="00CB665C"/>
    <w:rsid w:val="00CC50FA"/>
    <w:rsid w:val="00CD67F8"/>
    <w:rsid w:val="00D02B6F"/>
    <w:rsid w:val="00D105B8"/>
    <w:rsid w:val="00D534B4"/>
    <w:rsid w:val="00D66A8A"/>
    <w:rsid w:val="00D9797B"/>
    <w:rsid w:val="00DA7C03"/>
    <w:rsid w:val="00DB7483"/>
    <w:rsid w:val="00E46A5A"/>
    <w:rsid w:val="00E541A9"/>
    <w:rsid w:val="00E56762"/>
    <w:rsid w:val="00E86EA0"/>
    <w:rsid w:val="00E87A1D"/>
    <w:rsid w:val="00ED3E3A"/>
    <w:rsid w:val="00F37F85"/>
    <w:rsid w:val="00F462D3"/>
    <w:rsid w:val="00F50C66"/>
    <w:rsid w:val="00F8124F"/>
    <w:rsid w:val="00F955FD"/>
    <w:rsid w:val="00FD5165"/>
    <w:rsid w:val="00FF3404"/>
    <w:rsid w:val="1C9825AC"/>
    <w:rsid w:val="2DA50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1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4"/>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5"/>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toc 3"/>
    <w:basedOn w:val="1"/>
    <w:next w:val="1"/>
    <w:unhideWhenUsed/>
    <w:qFormat/>
    <w:uiPriority w:val="39"/>
    <w:pPr>
      <w:ind w:left="840" w:leftChars="400"/>
    </w:pPr>
  </w:style>
  <w:style w:type="paragraph" w:styleId="7">
    <w:name w:val="Balloon Text"/>
    <w:basedOn w:val="1"/>
    <w:link w:val="217"/>
    <w:semiHidden/>
    <w:unhideWhenUsed/>
    <w:uiPriority w:val="99"/>
    <w:rPr>
      <w:sz w:val="18"/>
      <w:szCs w:val="18"/>
    </w:rPr>
  </w:style>
  <w:style w:type="paragraph" w:styleId="8">
    <w:name w:val="footer"/>
    <w:basedOn w:val="1"/>
    <w:link w:val="212"/>
    <w:unhideWhenUsed/>
    <w:qFormat/>
    <w:uiPriority w:val="99"/>
    <w:pPr>
      <w:tabs>
        <w:tab w:val="center" w:pos="4153"/>
        <w:tab w:val="right" w:pos="8306"/>
      </w:tabs>
      <w:snapToGrid w:val="0"/>
      <w:jc w:val="left"/>
    </w:pPr>
    <w:rPr>
      <w:sz w:val="18"/>
      <w:szCs w:val="18"/>
    </w:rPr>
  </w:style>
  <w:style w:type="paragraph" w:styleId="9">
    <w:name w:val="header"/>
    <w:basedOn w:val="1"/>
    <w:link w:val="21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toc 2"/>
    <w:basedOn w:val="1"/>
    <w:next w:val="1"/>
    <w:unhideWhenUsed/>
    <w:uiPriority w:val="39"/>
    <w:pPr>
      <w:ind w:left="420" w:leftChars="200"/>
    </w:pPr>
  </w:style>
  <w:style w:type="paragraph" w:styleId="12">
    <w:name w:val="HTML Preformatted"/>
    <w:basedOn w:val="1"/>
    <w:link w:val="26"/>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cs="宋体"/>
      <w:kern w:val="0"/>
      <w:sz w:val="24"/>
      <w:szCs w:val="24"/>
    </w:rPr>
  </w:style>
  <w:style w:type="paragraph" w:styleId="13">
    <w:name w:val="Normal (Web)"/>
    <w:basedOn w:val="1"/>
    <w:unhideWhenUsed/>
    <w:uiPriority w:val="99"/>
    <w:pPr>
      <w:widowControl/>
      <w:jc w:val="left"/>
    </w:pPr>
    <w:rPr>
      <w:rFonts w:ascii="宋体" w:hAnsi="宋体" w:eastAsia="宋体" w:cs="宋体"/>
      <w:kern w:val="0"/>
      <w:sz w:val="24"/>
      <w:szCs w:val="24"/>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bCs/>
    </w:rPr>
  </w:style>
  <w:style w:type="character" w:styleId="18">
    <w:name w:val="FollowedHyperlink"/>
    <w:basedOn w:val="16"/>
    <w:semiHidden/>
    <w:unhideWhenUsed/>
    <w:uiPriority w:val="99"/>
    <w:rPr>
      <w:color w:val="551A8B"/>
      <w:u w:val="none"/>
    </w:rPr>
  </w:style>
  <w:style w:type="character" w:styleId="19">
    <w:name w:val="HTML Definition"/>
    <w:basedOn w:val="16"/>
    <w:semiHidden/>
    <w:unhideWhenUsed/>
    <w:uiPriority w:val="99"/>
    <w:rPr>
      <w:i/>
      <w:iCs/>
    </w:rPr>
  </w:style>
  <w:style w:type="character" w:styleId="20">
    <w:name w:val="Hyperlink"/>
    <w:basedOn w:val="16"/>
    <w:unhideWhenUsed/>
    <w:uiPriority w:val="99"/>
    <w:rPr>
      <w:color w:val="0000EE"/>
      <w:u w:val="none"/>
    </w:rPr>
  </w:style>
  <w:style w:type="character" w:styleId="21">
    <w:name w:val="HTML Code"/>
    <w:basedOn w:val="16"/>
    <w:semiHidden/>
    <w:unhideWhenUsed/>
    <w:uiPriority w:val="99"/>
    <w:rPr>
      <w:rFonts w:hint="default" w:ascii="Courier New" w:hAnsi="Courier New" w:eastAsia="宋体" w:cs="宋体"/>
      <w:sz w:val="24"/>
      <w:szCs w:val="24"/>
    </w:rPr>
  </w:style>
  <w:style w:type="character" w:styleId="22">
    <w:name w:val="HTML Keyboard"/>
    <w:basedOn w:val="16"/>
    <w:semiHidden/>
    <w:unhideWhenUsed/>
    <w:uiPriority w:val="99"/>
    <w:rPr>
      <w:rFonts w:hint="default" w:ascii="Courier New" w:hAnsi="Courier New" w:eastAsia="宋体" w:cs="宋体"/>
      <w:sz w:val="24"/>
      <w:szCs w:val="24"/>
    </w:rPr>
  </w:style>
  <w:style w:type="character" w:styleId="23">
    <w:name w:val="HTML Sample"/>
    <w:basedOn w:val="16"/>
    <w:semiHidden/>
    <w:unhideWhenUsed/>
    <w:uiPriority w:val="99"/>
    <w:rPr>
      <w:rFonts w:hint="default" w:ascii="Courier New" w:hAnsi="Courier New" w:eastAsia="宋体" w:cs="宋体"/>
      <w:sz w:val="24"/>
      <w:szCs w:val="24"/>
    </w:rPr>
  </w:style>
  <w:style w:type="character" w:customStyle="1" w:styleId="24">
    <w:name w:val="标题 1 Char"/>
    <w:basedOn w:val="16"/>
    <w:link w:val="2"/>
    <w:qFormat/>
    <w:uiPriority w:val="9"/>
    <w:rPr>
      <w:rFonts w:ascii="宋体" w:hAnsi="宋体" w:eastAsia="宋体" w:cs="宋体"/>
      <w:b/>
      <w:bCs/>
      <w:kern w:val="36"/>
      <w:sz w:val="48"/>
      <w:szCs w:val="48"/>
    </w:rPr>
  </w:style>
  <w:style w:type="character" w:customStyle="1" w:styleId="25">
    <w:name w:val="标题 4 Char"/>
    <w:basedOn w:val="16"/>
    <w:link w:val="5"/>
    <w:uiPriority w:val="9"/>
    <w:rPr>
      <w:rFonts w:ascii="宋体" w:hAnsi="宋体" w:eastAsia="宋体" w:cs="宋体"/>
      <w:b/>
      <w:bCs/>
      <w:kern w:val="0"/>
      <w:sz w:val="24"/>
      <w:szCs w:val="24"/>
    </w:rPr>
  </w:style>
  <w:style w:type="character" w:customStyle="1" w:styleId="26">
    <w:name w:val="HTML 预设格式 Char"/>
    <w:basedOn w:val="16"/>
    <w:link w:val="12"/>
    <w:semiHidden/>
    <w:uiPriority w:val="99"/>
    <w:rPr>
      <w:rFonts w:ascii="Courier New" w:hAnsi="Courier New" w:eastAsia="宋体" w:cs="宋体"/>
      <w:kern w:val="0"/>
      <w:sz w:val="24"/>
      <w:szCs w:val="24"/>
    </w:rPr>
  </w:style>
  <w:style w:type="paragraph" w:customStyle="1" w:styleId="27">
    <w:name w:val="msonormal"/>
    <w:basedOn w:val="1"/>
    <w:uiPriority w:val="0"/>
    <w:pPr>
      <w:widowControl/>
      <w:jc w:val="left"/>
    </w:pPr>
    <w:rPr>
      <w:rFonts w:ascii="宋体" w:hAnsi="宋体" w:eastAsia="宋体" w:cs="宋体"/>
      <w:kern w:val="0"/>
      <w:sz w:val="24"/>
      <w:szCs w:val="24"/>
    </w:rPr>
  </w:style>
  <w:style w:type="paragraph" w:customStyle="1" w:styleId="28">
    <w:name w:val="ir"/>
    <w:basedOn w:val="1"/>
    <w:uiPriority w:val="0"/>
    <w:pPr>
      <w:widowControl/>
      <w:ind w:firstLine="22384"/>
      <w:jc w:val="left"/>
    </w:pPr>
    <w:rPr>
      <w:rFonts w:ascii="宋体" w:hAnsi="宋体" w:eastAsia="宋体" w:cs="宋体"/>
      <w:kern w:val="0"/>
      <w:sz w:val="24"/>
      <w:szCs w:val="24"/>
    </w:rPr>
  </w:style>
  <w:style w:type="paragraph" w:customStyle="1" w:styleId="29">
    <w:name w:val="visuallyhidden"/>
    <w:basedOn w:val="1"/>
    <w:uiPriority w:val="0"/>
    <w:pPr>
      <w:widowControl/>
      <w:ind w:left="-15" w:right="-15"/>
      <w:jc w:val="left"/>
    </w:pPr>
    <w:rPr>
      <w:rFonts w:ascii="宋体" w:hAnsi="宋体" w:eastAsia="宋体" w:cs="宋体"/>
      <w:kern w:val="0"/>
      <w:sz w:val="24"/>
      <w:szCs w:val="24"/>
    </w:rPr>
  </w:style>
  <w:style w:type="paragraph" w:customStyle="1" w:styleId="30">
    <w:name w:val="image"/>
    <w:basedOn w:val="1"/>
    <w:uiPriority w:val="0"/>
    <w:pPr>
      <w:widowControl/>
      <w:jc w:val="left"/>
    </w:pPr>
    <w:rPr>
      <w:rFonts w:ascii="宋体" w:hAnsi="宋体" w:eastAsia="宋体" w:cs="宋体"/>
      <w:kern w:val="0"/>
      <w:sz w:val="24"/>
      <w:szCs w:val="24"/>
    </w:rPr>
  </w:style>
  <w:style w:type="paragraph" w:customStyle="1" w:styleId="31">
    <w:name w:val="pag_container"/>
    <w:basedOn w:val="1"/>
    <w:uiPriority w:val="0"/>
    <w:pPr>
      <w:widowControl/>
      <w:shd w:val="clear" w:color="auto" w:fill="F0F0F2"/>
      <w:jc w:val="left"/>
    </w:pPr>
    <w:rPr>
      <w:rFonts w:ascii="宋体" w:hAnsi="宋体" w:eastAsia="宋体" w:cs="宋体"/>
      <w:kern w:val="0"/>
      <w:sz w:val="24"/>
      <w:szCs w:val="24"/>
    </w:rPr>
  </w:style>
  <w:style w:type="paragraph" w:customStyle="1" w:styleId="32">
    <w:name w:val="pag_box"/>
    <w:basedOn w:val="1"/>
    <w:uiPriority w:val="0"/>
    <w:pPr>
      <w:widowControl/>
      <w:shd w:val="clear" w:color="auto" w:fill="FFFFFF"/>
      <w:spacing w:before="180"/>
      <w:jc w:val="left"/>
    </w:pPr>
    <w:rPr>
      <w:rFonts w:ascii="宋体" w:hAnsi="宋体" w:eastAsia="宋体" w:cs="宋体"/>
      <w:kern w:val="0"/>
      <w:sz w:val="24"/>
      <w:szCs w:val="24"/>
    </w:rPr>
  </w:style>
  <w:style w:type="paragraph" w:customStyle="1" w:styleId="33">
    <w:name w:val="pag_box1"/>
    <w:basedOn w:val="1"/>
    <w:uiPriority w:val="0"/>
    <w:pPr>
      <w:widowControl/>
      <w:pBdr>
        <w:bottom w:val="single" w:color="F00800" w:sz="12" w:space="0"/>
      </w:pBdr>
      <w:jc w:val="left"/>
    </w:pPr>
    <w:rPr>
      <w:rFonts w:ascii="宋体" w:hAnsi="宋体" w:eastAsia="宋体" w:cs="宋体"/>
      <w:kern w:val="0"/>
      <w:sz w:val="24"/>
      <w:szCs w:val="24"/>
    </w:rPr>
  </w:style>
  <w:style w:type="paragraph" w:customStyle="1" w:styleId="34">
    <w:name w:val="pag_box1b"/>
    <w:basedOn w:val="1"/>
    <w:uiPriority w:val="0"/>
    <w:pPr>
      <w:widowControl/>
      <w:pBdr>
        <w:bottom w:val="single" w:color="DDDDDD" w:sz="6" w:space="0"/>
      </w:pBdr>
      <w:jc w:val="left"/>
    </w:pPr>
    <w:rPr>
      <w:rFonts w:ascii="宋体" w:hAnsi="宋体" w:eastAsia="宋体" w:cs="宋体"/>
      <w:kern w:val="0"/>
      <w:sz w:val="24"/>
      <w:szCs w:val="24"/>
    </w:rPr>
  </w:style>
  <w:style w:type="paragraph" w:customStyle="1" w:styleId="35">
    <w:name w:val="pag_text"/>
    <w:basedOn w:val="1"/>
    <w:uiPriority w:val="0"/>
    <w:pPr>
      <w:widowControl/>
      <w:spacing w:line="570" w:lineRule="atLeast"/>
      <w:ind w:left="90"/>
      <w:jc w:val="left"/>
    </w:pPr>
    <w:rPr>
      <w:rFonts w:ascii="宋体" w:hAnsi="宋体" w:eastAsia="宋体" w:cs="宋体"/>
      <w:color w:val="444444"/>
      <w:kern w:val="0"/>
      <w:sz w:val="23"/>
      <w:szCs w:val="23"/>
    </w:rPr>
  </w:style>
  <w:style w:type="paragraph" w:customStyle="1" w:styleId="36">
    <w:name w:val="pag_text1"/>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37">
    <w:name w:val="pag_text2"/>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38">
    <w:name w:val="pag_box2"/>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39">
    <w:name w:val="pag_box3"/>
    <w:basedOn w:val="1"/>
    <w:qFormat/>
    <w:uiPriority w:val="0"/>
    <w:pPr>
      <w:widowControl/>
      <w:spacing w:before="150"/>
      <w:jc w:val="left"/>
    </w:pPr>
    <w:rPr>
      <w:rFonts w:ascii="宋体" w:hAnsi="宋体" w:eastAsia="宋体" w:cs="宋体"/>
      <w:kern w:val="0"/>
      <w:sz w:val="24"/>
      <w:szCs w:val="24"/>
    </w:rPr>
  </w:style>
  <w:style w:type="paragraph" w:customStyle="1" w:styleId="40">
    <w:name w:val="pag_box3b"/>
    <w:basedOn w:val="1"/>
    <w:qFormat/>
    <w:uiPriority w:val="0"/>
    <w:pPr>
      <w:widowControl/>
      <w:spacing w:before="150"/>
      <w:jc w:val="left"/>
    </w:pPr>
    <w:rPr>
      <w:rFonts w:ascii="宋体" w:hAnsi="宋体" w:eastAsia="宋体" w:cs="宋体"/>
      <w:kern w:val="0"/>
      <w:sz w:val="24"/>
      <w:szCs w:val="24"/>
    </w:rPr>
  </w:style>
  <w:style w:type="paragraph" w:customStyle="1" w:styleId="41">
    <w:name w:val="pag_box4"/>
    <w:basedOn w:val="1"/>
    <w:qFormat/>
    <w:uiPriority w:val="0"/>
    <w:pPr>
      <w:widowControl/>
      <w:jc w:val="left"/>
    </w:pPr>
    <w:rPr>
      <w:rFonts w:ascii="宋体" w:hAnsi="宋体" w:eastAsia="宋体" w:cs="宋体"/>
      <w:kern w:val="0"/>
      <w:sz w:val="24"/>
      <w:szCs w:val="24"/>
    </w:rPr>
  </w:style>
  <w:style w:type="paragraph" w:customStyle="1" w:styleId="42">
    <w:name w:val="pag_box15"/>
    <w:basedOn w:val="1"/>
    <w:qFormat/>
    <w:uiPriority w:val="0"/>
    <w:pPr>
      <w:widowControl/>
      <w:jc w:val="left"/>
    </w:pPr>
    <w:rPr>
      <w:rFonts w:ascii="宋体" w:hAnsi="宋体" w:eastAsia="宋体" w:cs="宋体"/>
      <w:kern w:val="0"/>
      <w:sz w:val="24"/>
      <w:szCs w:val="24"/>
    </w:rPr>
  </w:style>
  <w:style w:type="paragraph" w:customStyle="1" w:styleId="43">
    <w:name w:val="pag_box15b"/>
    <w:basedOn w:val="1"/>
    <w:qFormat/>
    <w:uiPriority w:val="0"/>
    <w:pPr>
      <w:widowControl/>
      <w:jc w:val="left"/>
    </w:pPr>
    <w:rPr>
      <w:rFonts w:ascii="宋体" w:hAnsi="宋体" w:eastAsia="宋体" w:cs="宋体"/>
      <w:kern w:val="0"/>
      <w:sz w:val="24"/>
      <w:szCs w:val="24"/>
    </w:rPr>
  </w:style>
  <w:style w:type="paragraph" w:customStyle="1" w:styleId="44">
    <w:name w:val="pag_box5"/>
    <w:basedOn w:val="1"/>
    <w:qFormat/>
    <w:uiPriority w:val="0"/>
    <w:pPr>
      <w:widowControl/>
      <w:jc w:val="left"/>
    </w:pPr>
    <w:rPr>
      <w:rFonts w:ascii="宋体" w:hAnsi="宋体" w:eastAsia="宋体" w:cs="宋体"/>
      <w:kern w:val="0"/>
      <w:sz w:val="24"/>
      <w:szCs w:val="24"/>
    </w:rPr>
  </w:style>
  <w:style w:type="paragraph" w:customStyle="1" w:styleId="45">
    <w:name w:val="pag_box6"/>
    <w:basedOn w:val="1"/>
    <w:qFormat/>
    <w:uiPriority w:val="0"/>
    <w:pPr>
      <w:widowControl/>
      <w:shd w:val="clear" w:color="auto" w:fill="FFFFFF"/>
      <w:jc w:val="left"/>
    </w:pPr>
    <w:rPr>
      <w:rFonts w:ascii="宋体" w:hAnsi="宋体" w:eastAsia="宋体" w:cs="宋体"/>
      <w:kern w:val="0"/>
      <w:sz w:val="24"/>
      <w:szCs w:val="24"/>
    </w:rPr>
  </w:style>
  <w:style w:type="paragraph" w:customStyle="1" w:styleId="46">
    <w:name w:val="pag_text3"/>
    <w:basedOn w:val="1"/>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47">
    <w:name w:val="pag_box7"/>
    <w:basedOn w:val="1"/>
    <w:uiPriority w:val="0"/>
    <w:pPr>
      <w:widowControl/>
      <w:shd w:val="clear" w:color="auto" w:fill="EEEEEE"/>
      <w:jc w:val="left"/>
    </w:pPr>
    <w:rPr>
      <w:rFonts w:ascii="宋体" w:hAnsi="宋体" w:eastAsia="宋体" w:cs="宋体"/>
      <w:kern w:val="0"/>
      <w:sz w:val="24"/>
      <w:szCs w:val="24"/>
    </w:rPr>
  </w:style>
  <w:style w:type="paragraph" w:customStyle="1" w:styleId="48">
    <w:name w:val="pag_box8"/>
    <w:basedOn w:val="1"/>
    <w:uiPriority w:val="0"/>
    <w:pPr>
      <w:widowControl/>
      <w:jc w:val="left"/>
    </w:pPr>
    <w:rPr>
      <w:rFonts w:ascii="宋体" w:hAnsi="宋体" w:eastAsia="宋体" w:cs="宋体"/>
      <w:kern w:val="0"/>
      <w:sz w:val="24"/>
      <w:szCs w:val="24"/>
    </w:rPr>
  </w:style>
  <w:style w:type="paragraph" w:customStyle="1" w:styleId="49">
    <w:name w:val="pag_box9"/>
    <w:basedOn w:val="1"/>
    <w:uiPriority w:val="0"/>
    <w:pPr>
      <w:widowControl/>
      <w:pBdr>
        <w:top w:val="single" w:color="BBBBBB" w:sz="6" w:space="0"/>
        <w:left w:val="single" w:color="BBBBBB" w:sz="6" w:space="0"/>
        <w:bottom w:val="single" w:color="BBBBBB" w:sz="6" w:space="0"/>
        <w:right w:val="single" w:color="BBBBBB" w:sz="6" w:space="0"/>
      </w:pBdr>
      <w:spacing w:after="150"/>
      <w:ind w:left="75" w:right="75"/>
      <w:jc w:val="left"/>
    </w:pPr>
    <w:rPr>
      <w:rFonts w:ascii="宋体" w:hAnsi="宋体" w:eastAsia="宋体" w:cs="宋体"/>
      <w:kern w:val="0"/>
      <w:sz w:val="24"/>
      <w:szCs w:val="24"/>
    </w:rPr>
  </w:style>
  <w:style w:type="paragraph" w:customStyle="1" w:styleId="50">
    <w:name w:val="pag_box10"/>
    <w:basedOn w:val="1"/>
    <w:uiPriority w:val="0"/>
    <w:pPr>
      <w:widowControl/>
      <w:shd w:val="clear" w:color="auto" w:fill="006DCA"/>
      <w:spacing w:after="150"/>
      <w:ind w:left="75" w:right="75"/>
      <w:jc w:val="left"/>
    </w:pPr>
    <w:rPr>
      <w:rFonts w:ascii="宋体" w:hAnsi="宋体" w:eastAsia="宋体" w:cs="宋体"/>
      <w:kern w:val="0"/>
      <w:sz w:val="24"/>
      <w:szCs w:val="24"/>
    </w:rPr>
  </w:style>
  <w:style w:type="paragraph" w:customStyle="1" w:styleId="51">
    <w:name w:val="pag_box11"/>
    <w:basedOn w:val="1"/>
    <w:uiPriority w:val="0"/>
    <w:pPr>
      <w:widowControl/>
      <w:jc w:val="left"/>
    </w:pPr>
    <w:rPr>
      <w:rFonts w:ascii="宋体" w:hAnsi="宋体" w:eastAsia="宋体" w:cs="宋体"/>
      <w:kern w:val="0"/>
      <w:sz w:val="24"/>
      <w:szCs w:val="24"/>
    </w:rPr>
  </w:style>
  <w:style w:type="paragraph" w:customStyle="1" w:styleId="52">
    <w:name w:val="pag_box12"/>
    <w:basedOn w:val="1"/>
    <w:uiPriority w:val="0"/>
    <w:pPr>
      <w:widowControl/>
      <w:jc w:val="left"/>
    </w:pPr>
    <w:rPr>
      <w:rFonts w:ascii="宋体" w:hAnsi="宋体" w:eastAsia="宋体" w:cs="宋体"/>
      <w:kern w:val="0"/>
      <w:sz w:val="24"/>
      <w:szCs w:val="24"/>
    </w:rPr>
  </w:style>
  <w:style w:type="paragraph" w:customStyle="1" w:styleId="53">
    <w:name w:val="pag_box13"/>
    <w:basedOn w:val="1"/>
    <w:uiPriority w:val="0"/>
    <w:pPr>
      <w:widowControl/>
      <w:jc w:val="left"/>
    </w:pPr>
    <w:rPr>
      <w:rFonts w:ascii="宋体" w:hAnsi="宋体" w:eastAsia="宋体" w:cs="宋体"/>
      <w:kern w:val="0"/>
      <w:sz w:val="24"/>
      <w:szCs w:val="24"/>
    </w:rPr>
  </w:style>
  <w:style w:type="paragraph" w:customStyle="1" w:styleId="54">
    <w:name w:val="pag_box14"/>
    <w:basedOn w:val="1"/>
    <w:uiPriority w:val="0"/>
    <w:pPr>
      <w:widowControl/>
      <w:pBdr>
        <w:bottom w:val="single" w:color="DCDCDC" w:sz="6" w:space="9"/>
      </w:pBdr>
      <w:jc w:val="left"/>
    </w:pPr>
    <w:rPr>
      <w:rFonts w:ascii="宋体" w:hAnsi="宋体" w:eastAsia="宋体" w:cs="宋体"/>
      <w:kern w:val="0"/>
      <w:sz w:val="24"/>
      <w:szCs w:val="24"/>
    </w:rPr>
  </w:style>
  <w:style w:type="paragraph" w:customStyle="1" w:styleId="55">
    <w:name w:val="pag_box16"/>
    <w:basedOn w:val="1"/>
    <w:uiPriority w:val="0"/>
    <w:pPr>
      <w:widowControl/>
      <w:jc w:val="left"/>
    </w:pPr>
    <w:rPr>
      <w:rFonts w:ascii="宋体" w:hAnsi="宋体" w:eastAsia="宋体" w:cs="宋体"/>
      <w:kern w:val="0"/>
      <w:sz w:val="24"/>
      <w:szCs w:val="24"/>
    </w:rPr>
  </w:style>
  <w:style w:type="paragraph" w:customStyle="1" w:styleId="56">
    <w:name w:val="pag_text8"/>
    <w:basedOn w:val="1"/>
    <w:uiPriority w:val="0"/>
    <w:pPr>
      <w:widowControl/>
      <w:spacing w:line="525" w:lineRule="atLeast"/>
      <w:jc w:val="left"/>
    </w:pPr>
    <w:rPr>
      <w:rFonts w:ascii="宋体" w:hAnsi="宋体" w:eastAsia="宋体" w:cs="宋体"/>
      <w:b/>
      <w:bCs/>
      <w:color w:val="737373"/>
      <w:kern w:val="0"/>
      <w:sz w:val="30"/>
      <w:szCs w:val="30"/>
    </w:rPr>
  </w:style>
  <w:style w:type="paragraph" w:customStyle="1" w:styleId="57">
    <w:name w:val="pag_box19"/>
    <w:basedOn w:val="1"/>
    <w:uiPriority w:val="0"/>
    <w:pPr>
      <w:widowControl/>
      <w:pBdr>
        <w:top w:val="single" w:color="DCDCDC" w:sz="6" w:space="0"/>
      </w:pBdr>
      <w:spacing w:before="225"/>
      <w:jc w:val="left"/>
    </w:pPr>
    <w:rPr>
      <w:rFonts w:ascii="宋体" w:hAnsi="宋体" w:eastAsia="宋体" w:cs="宋体"/>
      <w:kern w:val="0"/>
      <w:sz w:val="24"/>
      <w:szCs w:val="24"/>
    </w:rPr>
  </w:style>
  <w:style w:type="paragraph" w:customStyle="1" w:styleId="58">
    <w:name w:val="pag_box20"/>
    <w:basedOn w:val="1"/>
    <w:uiPriority w:val="0"/>
    <w:pPr>
      <w:widowControl/>
      <w:pBdr>
        <w:bottom w:val="dashed" w:color="DCDCDC" w:sz="6" w:space="12"/>
      </w:pBdr>
      <w:spacing w:before="150"/>
      <w:jc w:val="left"/>
    </w:pPr>
    <w:rPr>
      <w:rFonts w:ascii="宋体" w:hAnsi="宋体" w:eastAsia="宋体" w:cs="宋体"/>
      <w:kern w:val="0"/>
      <w:sz w:val="24"/>
      <w:szCs w:val="24"/>
    </w:rPr>
  </w:style>
  <w:style w:type="paragraph" w:customStyle="1" w:styleId="59">
    <w:name w:val="pag_box21"/>
    <w:basedOn w:val="1"/>
    <w:uiPriority w:val="0"/>
    <w:pPr>
      <w:widowControl/>
      <w:spacing w:before="450"/>
      <w:jc w:val="left"/>
    </w:pPr>
    <w:rPr>
      <w:rFonts w:ascii="宋体" w:hAnsi="宋体" w:eastAsia="宋体" w:cs="宋体"/>
      <w:kern w:val="0"/>
      <w:sz w:val="24"/>
      <w:szCs w:val="24"/>
    </w:rPr>
  </w:style>
  <w:style w:type="paragraph" w:customStyle="1" w:styleId="60">
    <w:name w:val="pag_box22"/>
    <w:basedOn w:val="1"/>
    <w:uiPriority w:val="0"/>
    <w:pPr>
      <w:widowControl/>
      <w:jc w:val="left"/>
    </w:pPr>
    <w:rPr>
      <w:rFonts w:ascii="宋体" w:hAnsi="宋体" w:eastAsia="宋体" w:cs="宋体"/>
      <w:kern w:val="0"/>
      <w:sz w:val="24"/>
      <w:szCs w:val="24"/>
    </w:rPr>
  </w:style>
  <w:style w:type="paragraph" w:customStyle="1" w:styleId="61">
    <w:name w:val="pag_text11"/>
    <w:basedOn w:val="1"/>
    <w:qFormat/>
    <w:uiPriority w:val="0"/>
    <w:pPr>
      <w:widowControl/>
      <w:pBdr>
        <w:top w:val="single" w:color="BBBBBB" w:sz="6" w:space="0"/>
        <w:left w:val="single" w:color="BBBBBB" w:sz="6" w:space="5"/>
        <w:bottom w:val="single" w:color="BBBBBB" w:sz="6" w:space="0"/>
        <w:right w:val="single" w:color="BBBBBB" w:sz="6" w:space="5"/>
      </w:pBdr>
      <w:shd w:val="clear" w:color="auto" w:fill="FFFFFF"/>
      <w:spacing w:line="420" w:lineRule="atLeast"/>
      <w:ind w:right="90"/>
      <w:jc w:val="center"/>
    </w:pPr>
    <w:rPr>
      <w:rFonts w:ascii="宋体" w:hAnsi="宋体" w:eastAsia="宋体" w:cs="宋体"/>
      <w:color w:val="979797"/>
      <w:kern w:val="0"/>
      <w:szCs w:val="21"/>
    </w:rPr>
  </w:style>
  <w:style w:type="paragraph" w:customStyle="1" w:styleId="62">
    <w:name w:val="pag_box23"/>
    <w:basedOn w:val="1"/>
    <w:uiPriority w:val="0"/>
    <w:pPr>
      <w:widowControl/>
      <w:ind w:left="90"/>
      <w:jc w:val="left"/>
    </w:pPr>
    <w:rPr>
      <w:rFonts w:ascii="宋体" w:hAnsi="宋体" w:eastAsia="宋体" w:cs="宋体"/>
      <w:kern w:val="0"/>
      <w:sz w:val="24"/>
      <w:szCs w:val="24"/>
    </w:rPr>
  </w:style>
  <w:style w:type="paragraph" w:customStyle="1" w:styleId="63">
    <w:name w:val="muc1"/>
    <w:basedOn w:val="1"/>
    <w:uiPriority w:val="0"/>
    <w:pPr>
      <w:widowControl/>
      <w:shd w:val="clear" w:color="auto" w:fill="E3E3E3"/>
      <w:jc w:val="left"/>
    </w:pPr>
    <w:rPr>
      <w:rFonts w:ascii="宋体" w:hAnsi="宋体" w:eastAsia="宋体" w:cs="宋体"/>
      <w:kern w:val="0"/>
      <w:sz w:val="24"/>
      <w:szCs w:val="24"/>
    </w:rPr>
  </w:style>
  <w:style w:type="paragraph" w:customStyle="1" w:styleId="64">
    <w:name w:val="pag_box24"/>
    <w:basedOn w:val="1"/>
    <w:qFormat/>
    <w:uiPriority w:val="0"/>
    <w:pPr>
      <w:widowControl/>
      <w:ind w:left="90"/>
      <w:jc w:val="left"/>
    </w:pPr>
    <w:rPr>
      <w:rFonts w:ascii="宋体" w:hAnsi="宋体" w:eastAsia="宋体" w:cs="宋体"/>
      <w:kern w:val="0"/>
      <w:sz w:val="24"/>
      <w:szCs w:val="24"/>
    </w:rPr>
  </w:style>
  <w:style w:type="paragraph" w:customStyle="1" w:styleId="65">
    <w:name w:val="pag_box25"/>
    <w:basedOn w:val="1"/>
    <w:qFormat/>
    <w:uiPriority w:val="0"/>
    <w:pPr>
      <w:widowControl/>
      <w:ind w:left="90"/>
      <w:jc w:val="left"/>
    </w:pPr>
    <w:rPr>
      <w:rFonts w:ascii="宋体" w:hAnsi="宋体" w:eastAsia="宋体" w:cs="宋体"/>
      <w:kern w:val="0"/>
      <w:sz w:val="24"/>
      <w:szCs w:val="24"/>
    </w:rPr>
  </w:style>
  <w:style w:type="paragraph" w:customStyle="1" w:styleId="66">
    <w:name w:val="pag_text13"/>
    <w:basedOn w:val="1"/>
    <w:uiPriority w:val="0"/>
    <w:pPr>
      <w:widowControl/>
      <w:spacing w:line="450" w:lineRule="atLeast"/>
      <w:jc w:val="center"/>
    </w:pPr>
    <w:rPr>
      <w:rFonts w:ascii="宋体" w:hAnsi="宋体" w:eastAsia="宋体" w:cs="宋体"/>
      <w:color w:val="979797"/>
      <w:kern w:val="0"/>
      <w:szCs w:val="21"/>
    </w:rPr>
  </w:style>
  <w:style w:type="paragraph" w:customStyle="1" w:styleId="67">
    <w:name w:val="pag_box26"/>
    <w:basedOn w:val="1"/>
    <w:qFormat/>
    <w:uiPriority w:val="0"/>
    <w:pPr>
      <w:widowControl/>
      <w:pBdr>
        <w:top w:val="single" w:color="BBBBBB" w:sz="6" w:space="0"/>
        <w:left w:val="single" w:color="BBBBBB" w:sz="6" w:space="0"/>
        <w:bottom w:val="single" w:color="BBBBBB" w:sz="6" w:space="0"/>
        <w:right w:val="single" w:color="BBBBBB" w:sz="6" w:space="0"/>
      </w:pBdr>
      <w:ind w:left="45" w:right="45"/>
      <w:jc w:val="left"/>
    </w:pPr>
    <w:rPr>
      <w:rFonts w:ascii="宋体" w:hAnsi="宋体" w:eastAsia="宋体" w:cs="宋体"/>
      <w:kern w:val="0"/>
      <w:sz w:val="24"/>
      <w:szCs w:val="24"/>
    </w:rPr>
  </w:style>
  <w:style w:type="paragraph" w:customStyle="1" w:styleId="68">
    <w:name w:val="pag_text14"/>
    <w:basedOn w:val="1"/>
    <w:uiPriority w:val="0"/>
    <w:pPr>
      <w:widowControl/>
      <w:pBdr>
        <w:top w:val="single" w:color="BBBBBB" w:sz="6" w:space="0"/>
        <w:left w:val="single" w:color="BBBBBB" w:sz="6" w:space="5"/>
        <w:bottom w:val="single" w:color="BBBBBB" w:sz="6" w:space="0"/>
        <w:right w:val="single" w:color="BBBBBB" w:sz="6" w:space="5"/>
      </w:pBdr>
      <w:spacing w:line="450" w:lineRule="atLeast"/>
      <w:ind w:left="90"/>
      <w:jc w:val="center"/>
    </w:pPr>
    <w:rPr>
      <w:rFonts w:ascii="宋体" w:hAnsi="宋体" w:eastAsia="宋体" w:cs="宋体"/>
      <w:color w:val="979797"/>
      <w:kern w:val="0"/>
      <w:szCs w:val="21"/>
    </w:rPr>
  </w:style>
  <w:style w:type="paragraph" w:customStyle="1" w:styleId="69">
    <w:name w:val="pag_box27"/>
    <w:basedOn w:val="1"/>
    <w:qFormat/>
    <w:uiPriority w:val="0"/>
    <w:pPr>
      <w:widowControl/>
      <w:spacing w:before="300"/>
      <w:jc w:val="left"/>
    </w:pPr>
    <w:rPr>
      <w:rFonts w:ascii="宋体" w:hAnsi="宋体" w:eastAsia="宋体" w:cs="宋体"/>
      <w:kern w:val="0"/>
      <w:sz w:val="24"/>
      <w:szCs w:val="24"/>
    </w:rPr>
  </w:style>
  <w:style w:type="paragraph" w:customStyle="1" w:styleId="70">
    <w:name w:val="pag_box28"/>
    <w:basedOn w:val="1"/>
    <w:uiPriority w:val="0"/>
    <w:pPr>
      <w:widowControl/>
      <w:pBdr>
        <w:bottom w:val="single" w:color="D2D2D2" w:sz="12" w:space="0"/>
      </w:pBdr>
      <w:spacing w:before="450"/>
      <w:jc w:val="left"/>
    </w:pPr>
    <w:rPr>
      <w:rFonts w:ascii="宋体" w:hAnsi="宋体" w:eastAsia="宋体" w:cs="宋体"/>
      <w:kern w:val="0"/>
      <w:sz w:val="24"/>
      <w:szCs w:val="24"/>
    </w:rPr>
  </w:style>
  <w:style w:type="paragraph" w:customStyle="1" w:styleId="71">
    <w:name w:val="pag_text16"/>
    <w:basedOn w:val="1"/>
    <w:uiPriority w:val="0"/>
    <w:pPr>
      <w:widowControl/>
      <w:spacing w:line="390" w:lineRule="atLeast"/>
      <w:ind w:left="300"/>
      <w:jc w:val="left"/>
    </w:pPr>
    <w:rPr>
      <w:rFonts w:ascii="宋体" w:hAnsi="宋体" w:eastAsia="宋体" w:cs="宋体"/>
      <w:color w:val="919191"/>
      <w:kern w:val="0"/>
      <w:sz w:val="20"/>
      <w:szCs w:val="20"/>
    </w:rPr>
  </w:style>
  <w:style w:type="paragraph" w:customStyle="1" w:styleId="72">
    <w:name w:val="pag_text17"/>
    <w:basedOn w:val="1"/>
    <w:uiPriority w:val="0"/>
    <w:pPr>
      <w:widowControl/>
      <w:spacing w:line="390" w:lineRule="atLeast"/>
      <w:ind w:left="1050"/>
      <w:jc w:val="left"/>
    </w:pPr>
    <w:rPr>
      <w:rFonts w:ascii="宋体" w:hAnsi="宋体" w:eastAsia="宋体" w:cs="宋体"/>
      <w:color w:val="919191"/>
      <w:kern w:val="0"/>
      <w:sz w:val="20"/>
      <w:szCs w:val="20"/>
    </w:rPr>
  </w:style>
  <w:style w:type="paragraph" w:customStyle="1" w:styleId="73">
    <w:name w:val="pag_text18"/>
    <w:basedOn w:val="1"/>
    <w:qFormat/>
    <w:uiPriority w:val="0"/>
    <w:pPr>
      <w:widowControl/>
      <w:spacing w:line="390" w:lineRule="atLeast"/>
      <w:ind w:right="300"/>
      <w:jc w:val="left"/>
    </w:pPr>
    <w:rPr>
      <w:rFonts w:ascii="宋体" w:hAnsi="宋体" w:eastAsia="宋体" w:cs="宋体"/>
      <w:color w:val="919191"/>
      <w:kern w:val="0"/>
      <w:sz w:val="20"/>
      <w:szCs w:val="20"/>
    </w:rPr>
  </w:style>
  <w:style w:type="paragraph" w:customStyle="1" w:styleId="74">
    <w:name w:val="pag_box29"/>
    <w:basedOn w:val="1"/>
    <w:uiPriority w:val="0"/>
    <w:pPr>
      <w:widowControl/>
      <w:pBdr>
        <w:top w:val="single" w:color="DCDCDC" w:sz="6" w:space="9"/>
      </w:pBdr>
      <w:spacing w:before="45"/>
      <w:jc w:val="left"/>
    </w:pPr>
    <w:rPr>
      <w:rFonts w:ascii="宋体" w:hAnsi="宋体" w:eastAsia="宋体" w:cs="宋体"/>
      <w:kern w:val="0"/>
      <w:sz w:val="24"/>
      <w:szCs w:val="24"/>
    </w:rPr>
  </w:style>
  <w:style w:type="paragraph" w:customStyle="1" w:styleId="75">
    <w:name w:val="pag_box30"/>
    <w:basedOn w:val="1"/>
    <w:qFormat/>
    <w:uiPriority w:val="0"/>
    <w:pPr>
      <w:widowControl/>
      <w:spacing w:before="180"/>
      <w:jc w:val="left"/>
    </w:pPr>
    <w:rPr>
      <w:rFonts w:ascii="宋体" w:hAnsi="宋体" w:eastAsia="宋体" w:cs="宋体"/>
      <w:kern w:val="0"/>
      <w:sz w:val="24"/>
      <w:szCs w:val="24"/>
    </w:rPr>
  </w:style>
  <w:style w:type="paragraph" w:customStyle="1" w:styleId="76">
    <w:name w:val="pag_box31"/>
    <w:basedOn w:val="1"/>
    <w:uiPriority w:val="0"/>
    <w:pPr>
      <w:widowControl/>
      <w:spacing w:before="630"/>
      <w:jc w:val="left"/>
    </w:pPr>
    <w:rPr>
      <w:rFonts w:ascii="宋体" w:hAnsi="宋体" w:eastAsia="宋体" w:cs="宋体"/>
      <w:kern w:val="0"/>
      <w:sz w:val="24"/>
      <w:szCs w:val="24"/>
    </w:rPr>
  </w:style>
  <w:style w:type="paragraph" w:customStyle="1" w:styleId="77">
    <w:name w:val="pag_text21"/>
    <w:basedOn w:val="1"/>
    <w:qFormat/>
    <w:uiPriority w:val="0"/>
    <w:pPr>
      <w:widowControl/>
      <w:spacing w:line="390" w:lineRule="atLeast"/>
      <w:ind w:left="1200"/>
      <w:jc w:val="left"/>
    </w:pPr>
    <w:rPr>
      <w:rFonts w:ascii="宋体" w:hAnsi="宋体" w:eastAsia="宋体" w:cs="宋体"/>
      <w:color w:val="919191"/>
      <w:kern w:val="0"/>
      <w:sz w:val="20"/>
      <w:szCs w:val="20"/>
    </w:rPr>
  </w:style>
  <w:style w:type="paragraph" w:customStyle="1" w:styleId="78">
    <w:name w:val="pag_text22"/>
    <w:basedOn w:val="1"/>
    <w:uiPriority w:val="0"/>
    <w:pPr>
      <w:widowControl/>
      <w:spacing w:line="390" w:lineRule="atLeast"/>
      <w:ind w:left="750"/>
      <w:jc w:val="left"/>
    </w:pPr>
    <w:rPr>
      <w:rFonts w:ascii="宋体" w:hAnsi="宋体" w:eastAsia="宋体" w:cs="宋体"/>
      <w:color w:val="919191"/>
      <w:kern w:val="0"/>
      <w:sz w:val="20"/>
      <w:szCs w:val="20"/>
    </w:rPr>
  </w:style>
  <w:style w:type="paragraph" w:customStyle="1" w:styleId="79">
    <w:name w:val="pag_box32"/>
    <w:basedOn w:val="1"/>
    <w:uiPriority w:val="0"/>
    <w:pPr>
      <w:widowControl/>
      <w:ind w:right="300"/>
      <w:jc w:val="left"/>
    </w:pPr>
    <w:rPr>
      <w:rFonts w:ascii="宋体" w:hAnsi="宋体" w:eastAsia="宋体" w:cs="宋体"/>
      <w:kern w:val="0"/>
      <w:sz w:val="24"/>
      <w:szCs w:val="24"/>
    </w:rPr>
  </w:style>
  <w:style w:type="paragraph" w:customStyle="1" w:styleId="80">
    <w:name w:val="pag_box33"/>
    <w:basedOn w:val="1"/>
    <w:qFormat/>
    <w:uiPriority w:val="0"/>
    <w:pPr>
      <w:widowControl/>
      <w:pBdr>
        <w:top w:val="single" w:color="DCDCDC" w:sz="6" w:space="9"/>
      </w:pBdr>
      <w:spacing w:before="90"/>
      <w:jc w:val="left"/>
    </w:pPr>
    <w:rPr>
      <w:rFonts w:ascii="宋体" w:hAnsi="宋体" w:eastAsia="宋体" w:cs="宋体"/>
      <w:kern w:val="0"/>
      <w:sz w:val="24"/>
      <w:szCs w:val="24"/>
    </w:rPr>
  </w:style>
  <w:style w:type="paragraph" w:customStyle="1" w:styleId="81">
    <w:name w:val="pag_text23"/>
    <w:basedOn w:val="1"/>
    <w:qFormat/>
    <w:uiPriority w:val="0"/>
    <w:pPr>
      <w:widowControl/>
      <w:pBdr>
        <w:top w:val="single" w:color="DCDCDC" w:sz="6" w:space="0"/>
        <w:left w:val="single" w:color="DCDCDC" w:sz="6" w:space="27"/>
        <w:bottom w:val="single" w:color="DCDCDC" w:sz="6" w:space="0"/>
        <w:right w:val="single" w:color="DCDCDC" w:sz="6" w:space="8"/>
      </w:pBdr>
      <w:spacing w:after="150" w:line="480" w:lineRule="atLeast"/>
      <w:ind w:left="300"/>
      <w:jc w:val="right"/>
    </w:pPr>
    <w:rPr>
      <w:rFonts w:ascii="宋体" w:hAnsi="宋体" w:eastAsia="宋体" w:cs="宋体"/>
      <w:color w:val="006DCA"/>
      <w:kern w:val="0"/>
      <w:sz w:val="24"/>
      <w:szCs w:val="24"/>
    </w:rPr>
  </w:style>
  <w:style w:type="paragraph" w:customStyle="1" w:styleId="82">
    <w:name w:val="pag_box34"/>
    <w:basedOn w:val="1"/>
    <w:uiPriority w:val="0"/>
    <w:pPr>
      <w:widowControl/>
      <w:shd w:val="clear" w:color="auto" w:fill="006DCA"/>
      <w:spacing w:before="300" w:line="600" w:lineRule="atLeast"/>
      <w:jc w:val="center"/>
    </w:pPr>
    <w:rPr>
      <w:rFonts w:ascii="宋体" w:hAnsi="宋体" w:eastAsia="宋体" w:cs="宋体"/>
      <w:color w:val="F7F7F7"/>
      <w:kern w:val="0"/>
      <w:sz w:val="24"/>
      <w:szCs w:val="24"/>
    </w:rPr>
  </w:style>
  <w:style w:type="paragraph" w:customStyle="1" w:styleId="83">
    <w:name w:val="pag_box34b"/>
    <w:basedOn w:val="1"/>
    <w:qFormat/>
    <w:uiPriority w:val="0"/>
    <w:pPr>
      <w:widowControl/>
      <w:spacing w:before="300"/>
      <w:jc w:val="left"/>
    </w:pPr>
    <w:rPr>
      <w:rFonts w:ascii="宋体" w:hAnsi="宋体" w:eastAsia="宋体" w:cs="宋体"/>
      <w:kern w:val="0"/>
      <w:sz w:val="24"/>
      <w:szCs w:val="24"/>
    </w:rPr>
  </w:style>
  <w:style w:type="paragraph" w:customStyle="1" w:styleId="84">
    <w:name w:val="pag_text24"/>
    <w:basedOn w:val="1"/>
    <w:qFormat/>
    <w:uiPriority w:val="0"/>
    <w:pPr>
      <w:widowControl/>
      <w:jc w:val="left"/>
    </w:pPr>
    <w:rPr>
      <w:rFonts w:ascii="宋体" w:hAnsi="宋体" w:eastAsia="宋体" w:cs="宋体"/>
      <w:kern w:val="0"/>
      <w:sz w:val="24"/>
      <w:szCs w:val="24"/>
    </w:rPr>
  </w:style>
  <w:style w:type="paragraph" w:customStyle="1" w:styleId="85">
    <w:name w:val="pag_box35"/>
    <w:basedOn w:val="1"/>
    <w:qFormat/>
    <w:uiPriority w:val="0"/>
    <w:pPr>
      <w:widowControl/>
      <w:spacing w:before="900"/>
      <w:jc w:val="left"/>
    </w:pPr>
    <w:rPr>
      <w:rFonts w:ascii="宋体" w:hAnsi="宋体" w:eastAsia="宋体" w:cs="宋体"/>
      <w:kern w:val="0"/>
      <w:sz w:val="24"/>
      <w:szCs w:val="24"/>
    </w:rPr>
  </w:style>
  <w:style w:type="paragraph" w:customStyle="1" w:styleId="86">
    <w:name w:val="pag_box17"/>
    <w:basedOn w:val="1"/>
    <w:qFormat/>
    <w:uiPriority w:val="0"/>
    <w:pPr>
      <w:widowControl/>
      <w:shd w:val="clear" w:color="auto" w:fill="F2F2F2"/>
      <w:spacing w:before="150"/>
      <w:jc w:val="left"/>
    </w:pPr>
    <w:rPr>
      <w:rFonts w:ascii="宋体" w:hAnsi="宋体" w:eastAsia="宋体" w:cs="宋体"/>
      <w:kern w:val="0"/>
      <w:sz w:val="24"/>
      <w:szCs w:val="24"/>
    </w:rPr>
  </w:style>
  <w:style w:type="paragraph" w:customStyle="1" w:styleId="87">
    <w:name w:val="pag_box18"/>
    <w:basedOn w:val="1"/>
    <w:qFormat/>
    <w:uiPriority w:val="0"/>
    <w:pPr>
      <w:widowControl/>
      <w:jc w:val="left"/>
    </w:pPr>
    <w:rPr>
      <w:rFonts w:ascii="宋体" w:hAnsi="宋体" w:eastAsia="宋体" w:cs="宋体"/>
      <w:kern w:val="0"/>
      <w:sz w:val="24"/>
      <w:szCs w:val="24"/>
    </w:rPr>
  </w:style>
  <w:style w:type="paragraph" w:customStyle="1" w:styleId="88">
    <w:name w:val="pag_formgroup"/>
    <w:basedOn w:val="1"/>
    <w:qFormat/>
    <w:uiPriority w:val="0"/>
    <w:pPr>
      <w:widowControl/>
      <w:jc w:val="left"/>
    </w:pPr>
    <w:rPr>
      <w:rFonts w:ascii="宋体" w:hAnsi="宋体" w:eastAsia="宋体" w:cs="宋体"/>
      <w:kern w:val="0"/>
      <w:sz w:val="24"/>
      <w:szCs w:val="24"/>
    </w:rPr>
  </w:style>
  <w:style w:type="paragraph" w:customStyle="1" w:styleId="89">
    <w:name w:val="pag_textinput"/>
    <w:basedOn w:val="1"/>
    <w:qFormat/>
    <w:uiPriority w:val="0"/>
    <w:pPr>
      <w:widowControl/>
      <w:pBdr>
        <w:top w:val="single" w:color="CCCCCC" w:sz="6" w:space="0"/>
        <w:left w:val="single" w:color="CCCCCC" w:sz="6" w:space="0"/>
        <w:bottom w:val="single" w:color="CCCCCC" w:sz="6" w:space="0"/>
        <w:right w:val="single" w:color="CCCCCC" w:sz="6" w:space="0"/>
      </w:pBdr>
      <w:shd w:val="clear" w:color="auto" w:fill="FFFFFF"/>
      <w:jc w:val="left"/>
    </w:pPr>
    <w:rPr>
      <w:rFonts w:ascii="宋体" w:hAnsi="宋体" w:eastAsia="宋体" w:cs="宋体"/>
      <w:kern w:val="0"/>
      <w:szCs w:val="21"/>
    </w:rPr>
  </w:style>
  <w:style w:type="paragraph" w:customStyle="1" w:styleId="90">
    <w:name w:val="pag_text9"/>
    <w:basedOn w:val="1"/>
    <w:qFormat/>
    <w:uiPriority w:val="0"/>
    <w:pPr>
      <w:widowControl/>
      <w:spacing w:line="300" w:lineRule="atLeast"/>
      <w:jc w:val="left"/>
    </w:pPr>
    <w:rPr>
      <w:rFonts w:ascii="宋体" w:hAnsi="宋体" w:eastAsia="宋体" w:cs="宋体"/>
      <w:color w:val="454545"/>
      <w:kern w:val="0"/>
      <w:szCs w:val="21"/>
    </w:rPr>
  </w:style>
  <w:style w:type="paragraph" w:customStyle="1" w:styleId="91">
    <w:name w:val="pag_input"/>
    <w:basedOn w:val="1"/>
    <w:qFormat/>
    <w:uiPriority w:val="0"/>
    <w:pPr>
      <w:widowControl/>
      <w:shd w:val="clear" w:color="auto" w:fill="006DCA"/>
      <w:spacing w:before="390"/>
      <w:ind w:left="150"/>
      <w:jc w:val="left"/>
    </w:pPr>
    <w:rPr>
      <w:rFonts w:ascii="宋体" w:hAnsi="宋体" w:eastAsia="宋体" w:cs="宋体"/>
      <w:color w:val="FFFFFF"/>
      <w:kern w:val="0"/>
      <w:sz w:val="24"/>
      <w:szCs w:val="24"/>
    </w:rPr>
  </w:style>
  <w:style w:type="paragraph" w:customStyle="1" w:styleId="92">
    <w:name w:val="pag_text10"/>
    <w:basedOn w:val="1"/>
    <w:qFormat/>
    <w:uiPriority w:val="0"/>
    <w:pPr>
      <w:widowControl/>
      <w:spacing w:before="384" w:line="450" w:lineRule="atLeast"/>
      <w:ind w:left="150"/>
      <w:jc w:val="left"/>
    </w:pPr>
    <w:rPr>
      <w:rFonts w:ascii="宋体" w:hAnsi="宋体" w:eastAsia="宋体" w:cs="宋体"/>
      <w:color w:val="454545"/>
      <w:kern w:val="0"/>
      <w:szCs w:val="21"/>
    </w:rPr>
  </w:style>
  <w:style w:type="paragraph" w:customStyle="1" w:styleId="93">
    <w:name w:val="pag_box36"/>
    <w:basedOn w:val="1"/>
    <w:qFormat/>
    <w:uiPriority w:val="0"/>
    <w:pPr>
      <w:widowControl/>
      <w:shd w:val="clear" w:color="auto" w:fill="EEEEEE"/>
      <w:spacing w:before="180"/>
      <w:jc w:val="left"/>
    </w:pPr>
    <w:rPr>
      <w:rFonts w:ascii="宋体" w:hAnsi="宋体" w:eastAsia="宋体" w:cs="宋体"/>
      <w:kern w:val="0"/>
      <w:sz w:val="24"/>
      <w:szCs w:val="24"/>
    </w:rPr>
  </w:style>
  <w:style w:type="paragraph" w:customStyle="1" w:styleId="94">
    <w:name w:val="pag_image2"/>
    <w:basedOn w:val="1"/>
    <w:qFormat/>
    <w:uiPriority w:val="0"/>
    <w:pPr>
      <w:widowControl/>
      <w:jc w:val="left"/>
    </w:pPr>
    <w:rPr>
      <w:rFonts w:ascii="宋体" w:hAnsi="宋体" w:eastAsia="宋体" w:cs="宋体"/>
      <w:color w:val="000000"/>
      <w:kern w:val="0"/>
      <w:sz w:val="24"/>
      <w:szCs w:val="24"/>
    </w:rPr>
  </w:style>
  <w:style w:type="paragraph" w:customStyle="1" w:styleId="95">
    <w:name w:val="pag_box37"/>
    <w:basedOn w:val="1"/>
    <w:qFormat/>
    <w:uiPriority w:val="0"/>
    <w:pPr>
      <w:widowControl/>
      <w:spacing w:before="300"/>
      <w:jc w:val="left"/>
    </w:pPr>
    <w:rPr>
      <w:rFonts w:ascii="宋体" w:hAnsi="宋体" w:eastAsia="宋体" w:cs="宋体"/>
      <w:kern w:val="0"/>
      <w:sz w:val="24"/>
      <w:szCs w:val="24"/>
    </w:rPr>
  </w:style>
  <w:style w:type="paragraph" w:customStyle="1" w:styleId="96">
    <w:name w:val="pag_box38"/>
    <w:basedOn w:val="1"/>
    <w:qFormat/>
    <w:uiPriority w:val="0"/>
    <w:pPr>
      <w:widowControl/>
      <w:spacing w:before="300"/>
      <w:jc w:val="left"/>
    </w:pPr>
    <w:rPr>
      <w:rFonts w:ascii="宋体" w:hAnsi="宋体" w:eastAsia="宋体" w:cs="宋体"/>
      <w:kern w:val="0"/>
      <w:sz w:val="24"/>
      <w:szCs w:val="24"/>
    </w:rPr>
  </w:style>
  <w:style w:type="paragraph" w:customStyle="1" w:styleId="97">
    <w:name w:val="pag_box39"/>
    <w:basedOn w:val="1"/>
    <w:uiPriority w:val="0"/>
    <w:pPr>
      <w:widowControl/>
      <w:pBdr>
        <w:bottom w:val="dashed" w:color="D2D2D2" w:sz="6" w:space="0"/>
      </w:pBdr>
      <w:spacing w:before="600"/>
      <w:jc w:val="left"/>
    </w:pPr>
    <w:rPr>
      <w:rFonts w:ascii="宋体" w:hAnsi="宋体" w:eastAsia="宋体" w:cs="宋体"/>
      <w:kern w:val="0"/>
      <w:sz w:val="24"/>
      <w:szCs w:val="24"/>
    </w:rPr>
  </w:style>
  <w:style w:type="paragraph" w:customStyle="1" w:styleId="98">
    <w:name w:val="pag_box40"/>
    <w:basedOn w:val="1"/>
    <w:uiPriority w:val="0"/>
    <w:pPr>
      <w:widowControl/>
      <w:jc w:val="left"/>
    </w:pPr>
    <w:rPr>
      <w:rFonts w:ascii="宋体" w:hAnsi="宋体" w:eastAsia="宋体" w:cs="宋体"/>
      <w:kern w:val="0"/>
      <w:sz w:val="24"/>
      <w:szCs w:val="24"/>
    </w:rPr>
  </w:style>
  <w:style w:type="paragraph" w:customStyle="1" w:styleId="99">
    <w:name w:val="pag_box42"/>
    <w:basedOn w:val="1"/>
    <w:qFormat/>
    <w:uiPriority w:val="0"/>
    <w:pPr>
      <w:widowControl/>
      <w:pBdr>
        <w:right w:val="single" w:color="D2D2D2" w:sz="6" w:space="0"/>
      </w:pBdr>
      <w:jc w:val="left"/>
    </w:pPr>
    <w:rPr>
      <w:rFonts w:ascii="宋体" w:hAnsi="宋体" w:eastAsia="宋体" w:cs="宋体"/>
      <w:kern w:val="0"/>
      <w:sz w:val="24"/>
      <w:szCs w:val="24"/>
    </w:rPr>
  </w:style>
  <w:style w:type="paragraph" w:customStyle="1" w:styleId="100">
    <w:name w:val="pag_box43"/>
    <w:basedOn w:val="1"/>
    <w:qFormat/>
    <w:uiPriority w:val="0"/>
    <w:pPr>
      <w:widowControl/>
      <w:jc w:val="left"/>
    </w:pPr>
    <w:rPr>
      <w:rFonts w:ascii="宋体" w:hAnsi="宋体" w:eastAsia="宋体" w:cs="宋体"/>
      <w:kern w:val="0"/>
      <w:sz w:val="24"/>
      <w:szCs w:val="24"/>
    </w:rPr>
  </w:style>
  <w:style w:type="paragraph" w:customStyle="1" w:styleId="101">
    <w:name w:val="pag_box41"/>
    <w:basedOn w:val="1"/>
    <w:qFormat/>
    <w:uiPriority w:val="0"/>
    <w:pPr>
      <w:widowControl/>
      <w:pBdr>
        <w:bottom w:val="dashed" w:color="D2D2D2" w:sz="6" w:space="15"/>
      </w:pBdr>
      <w:jc w:val="left"/>
    </w:pPr>
    <w:rPr>
      <w:rFonts w:ascii="宋体" w:hAnsi="宋体" w:eastAsia="宋体" w:cs="宋体"/>
      <w:kern w:val="0"/>
      <w:sz w:val="24"/>
      <w:szCs w:val="24"/>
    </w:rPr>
  </w:style>
  <w:style w:type="paragraph" w:customStyle="1" w:styleId="102">
    <w:name w:val="pag_text25"/>
    <w:basedOn w:val="1"/>
    <w:qFormat/>
    <w:uiPriority w:val="0"/>
    <w:pPr>
      <w:widowControl/>
      <w:pBdr>
        <w:right w:val="single" w:color="D2D2D2" w:sz="6" w:space="0"/>
      </w:pBdr>
      <w:spacing w:line="750" w:lineRule="atLeast"/>
      <w:jc w:val="center"/>
    </w:pPr>
    <w:rPr>
      <w:rFonts w:ascii="宋体" w:hAnsi="宋体" w:eastAsia="宋体" w:cs="宋体"/>
      <w:b/>
      <w:bCs/>
      <w:color w:val="8F8F8F"/>
      <w:kern w:val="0"/>
      <w:sz w:val="33"/>
      <w:szCs w:val="33"/>
    </w:rPr>
  </w:style>
  <w:style w:type="paragraph" w:customStyle="1" w:styleId="103">
    <w:name w:val="pag_text26"/>
    <w:basedOn w:val="1"/>
    <w:qFormat/>
    <w:uiPriority w:val="0"/>
    <w:pPr>
      <w:widowControl/>
      <w:spacing w:line="750" w:lineRule="atLeast"/>
      <w:jc w:val="center"/>
    </w:pPr>
    <w:rPr>
      <w:rFonts w:ascii="宋体" w:hAnsi="宋体" w:eastAsia="宋体" w:cs="宋体"/>
      <w:b/>
      <w:bCs/>
      <w:color w:val="8F8F8F"/>
      <w:kern w:val="0"/>
      <w:sz w:val="33"/>
      <w:szCs w:val="33"/>
    </w:rPr>
  </w:style>
  <w:style w:type="paragraph" w:customStyle="1" w:styleId="104">
    <w:name w:val="subnavbox"/>
    <w:basedOn w:val="1"/>
    <w:uiPriority w:val="0"/>
    <w:pPr>
      <w:widowControl/>
      <w:jc w:val="left"/>
    </w:pPr>
    <w:rPr>
      <w:rFonts w:ascii="宋体" w:hAnsi="宋体" w:eastAsia="宋体" w:cs="宋体"/>
      <w:kern w:val="0"/>
      <w:sz w:val="24"/>
      <w:szCs w:val="24"/>
    </w:rPr>
  </w:style>
  <w:style w:type="paragraph" w:customStyle="1" w:styleId="105">
    <w:name w:val="subnav"/>
    <w:basedOn w:val="1"/>
    <w:qFormat/>
    <w:uiPriority w:val="0"/>
    <w:pPr>
      <w:widowControl/>
      <w:pBdr>
        <w:bottom w:val="single" w:color="DDDDDD" w:sz="6" w:space="0"/>
      </w:pBdr>
      <w:spacing w:line="675" w:lineRule="atLeast"/>
      <w:jc w:val="left"/>
    </w:pPr>
    <w:rPr>
      <w:rFonts w:ascii="宋体" w:hAnsi="宋体" w:eastAsia="宋体" w:cs="宋体"/>
      <w:b/>
      <w:bCs/>
      <w:color w:val="444444"/>
      <w:kern w:val="0"/>
      <w:sz w:val="24"/>
      <w:szCs w:val="24"/>
    </w:rPr>
  </w:style>
  <w:style w:type="paragraph" w:customStyle="1" w:styleId="106">
    <w:name w:val="currentdd"/>
    <w:basedOn w:val="1"/>
    <w:qFormat/>
    <w:uiPriority w:val="0"/>
    <w:pPr>
      <w:widowControl/>
      <w:shd w:val="clear" w:color="auto" w:fill="006DCA"/>
      <w:jc w:val="left"/>
    </w:pPr>
    <w:rPr>
      <w:rFonts w:ascii="宋体" w:hAnsi="宋体" w:eastAsia="宋体" w:cs="宋体"/>
      <w:color w:val="FFFFFF"/>
      <w:kern w:val="0"/>
      <w:sz w:val="24"/>
      <w:szCs w:val="24"/>
    </w:rPr>
  </w:style>
  <w:style w:type="paragraph" w:customStyle="1" w:styleId="107">
    <w:name w:val="currentdt"/>
    <w:basedOn w:val="1"/>
    <w:qFormat/>
    <w:uiPriority w:val="0"/>
    <w:pPr>
      <w:widowControl/>
      <w:jc w:val="left"/>
    </w:pPr>
    <w:rPr>
      <w:rFonts w:ascii="宋体" w:hAnsi="宋体" w:eastAsia="宋体" w:cs="宋体"/>
      <w:kern w:val="0"/>
      <w:sz w:val="24"/>
      <w:szCs w:val="24"/>
    </w:rPr>
  </w:style>
  <w:style w:type="paragraph" w:customStyle="1" w:styleId="108">
    <w:name w:val="navcontent"/>
    <w:basedOn w:val="1"/>
    <w:qFormat/>
    <w:uiPriority w:val="0"/>
    <w:pPr>
      <w:widowControl/>
      <w:pBdr>
        <w:bottom w:val="single" w:color="E5E3DA" w:sz="6" w:space="0"/>
      </w:pBdr>
      <w:jc w:val="left"/>
    </w:pPr>
    <w:rPr>
      <w:rFonts w:ascii="宋体" w:hAnsi="宋体" w:eastAsia="宋体" w:cs="宋体"/>
      <w:vanish/>
      <w:kern w:val="0"/>
      <w:sz w:val="24"/>
      <w:szCs w:val="24"/>
    </w:rPr>
  </w:style>
  <w:style w:type="paragraph" w:customStyle="1" w:styleId="109">
    <w:name w:val="inx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110">
    <w:name w:val="inx_box"/>
    <w:basedOn w:val="1"/>
    <w:qFormat/>
    <w:uiPriority w:val="0"/>
    <w:pPr>
      <w:widowControl/>
      <w:jc w:val="left"/>
    </w:pPr>
    <w:rPr>
      <w:rFonts w:ascii="宋体" w:hAnsi="宋体" w:eastAsia="宋体" w:cs="宋体"/>
      <w:kern w:val="0"/>
      <w:sz w:val="24"/>
      <w:szCs w:val="24"/>
    </w:rPr>
  </w:style>
  <w:style w:type="paragraph" w:customStyle="1" w:styleId="111">
    <w:name w:val="inx_image"/>
    <w:basedOn w:val="1"/>
    <w:uiPriority w:val="0"/>
    <w:pPr>
      <w:widowControl/>
      <w:jc w:val="left"/>
    </w:pPr>
    <w:rPr>
      <w:rFonts w:ascii="宋体" w:hAnsi="宋体" w:eastAsia="宋体" w:cs="宋体"/>
      <w:color w:val="000000"/>
      <w:kern w:val="0"/>
      <w:sz w:val="24"/>
      <w:szCs w:val="24"/>
    </w:rPr>
  </w:style>
  <w:style w:type="paragraph" w:customStyle="1" w:styleId="112">
    <w:name w:val="inx_box1"/>
    <w:basedOn w:val="1"/>
    <w:qFormat/>
    <w:uiPriority w:val="0"/>
    <w:pPr>
      <w:widowControl/>
      <w:spacing w:before="540"/>
      <w:jc w:val="left"/>
    </w:pPr>
    <w:rPr>
      <w:rFonts w:ascii="宋体" w:hAnsi="宋体" w:eastAsia="宋体" w:cs="宋体"/>
      <w:kern w:val="0"/>
      <w:sz w:val="24"/>
      <w:szCs w:val="24"/>
    </w:rPr>
  </w:style>
  <w:style w:type="paragraph" w:customStyle="1" w:styleId="113">
    <w:name w:val="inx_box2"/>
    <w:basedOn w:val="1"/>
    <w:qFormat/>
    <w:uiPriority w:val="0"/>
    <w:pPr>
      <w:widowControl/>
      <w:pBdr>
        <w:top w:val="single" w:color="AAAAAA" w:sz="6" w:space="0"/>
        <w:left w:val="single" w:color="AAAAAA" w:sz="6" w:space="0"/>
        <w:bottom w:val="single" w:color="AAAAAA" w:sz="6" w:space="0"/>
        <w:right w:val="single" w:color="AAAAAA" w:sz="6" w:space="0"/>
      </w:pBdr>
      <w:shd w:val="clear" w:color="auto" w:fill="FFFFFF"/>
      <w:jc w:val="left"/>
    </w:pPr>
    <w:rPr>
      <w:rFonts w:ascii="宋体" w:hAnsi="宋体" w:eastAsia="宋体" w:cs="宋体"/>
      <w:kern w:val="0"/>
      <w:sz w:val="24"/>
      <w:szCs w:val="24"/>
    </w:rPr>
  </w:style>
  <w:style w:type="paragraph" w:customStyle="1" w:styleId="114">
    <w:name w:val="inx_box3"/>
    <w:basedOn w:val="1"/>
    <w:qFormat/>
    <w:uiPriority w:val="0"/>
    <w:pPr>
      <w:widowControl/>
      <w:spacing w:before="60"/>
      <w:ind w:left="105"/>
      <w:jc w:val="left"/>
    </w:pPr>
    <w:rPr>
      <w:rFonts w:ascii="宋体" w:hAnsi="宋体" w:eastAsia="宋体" w:cs="宋体"/>
      <w:kern w:val="0"/>
      <w:sz w:val="24"/>
      <w:szCs w:val="24"/>
    </w:rPr>
  </w:style>
  <w:style w:type="paragraph" w:customStyle="1" w:styleId="115">
    <w:name w:val="inx_box4"/>
    <w:basedOn w:val="1"/>
    <w:qFormat/>
    <w:uiPriority w:val="0"/>
    <w:pPr>
      <w:widowControl/>
      <w:shd w:val="clear" w:color="auto" w:fill="006DCA"/>
      <w:jc w:val="left"/>
    </w:pPr>
    <w:rPr>
      <w:rFonts w:ascii="宋体" w:hAnsi="宋体" w:eastAsia="宋体" w:cs="宋体"/>
      <w:kern w:val="0"/>
      <w:sz w:val="24"/>
      <w:szCs w:val="24"/>
    </w:rPr>
  </w:style>
  <w:style w:type="paragraph" w:customStyle="1" w:styleId="116">
    <w:name w:val="inx_text"/>
    <w:basedOn w:val="1"/>
    <w:uiPriority w:val="0"/>
    <w:pPr>
      <w:widowControl/>
      <w:spacing w:line="450" w:lineRule="atLeast"/>
      <w:jc w:val="left"/>
    </w:pPr>
    <w:rPr>
      <w:rFonts w:ascii="宋体" w:hAnsi="宋体" w:eastAsia="宋体" w:cs="宋体"/>
      <w:color w:val="AAAAAA"/>
      <w:kern w:val="0"/>
      <w:szCs w:val="21"/>
    </w:rPr>
  </w:style>
  <w:style w:type="paragraph" w:customStyle="1" w:styleId="117">
    <w:name w:val="inx_text1"/>
    <w:basedOn w:val="1"/>
    <w:qFormat/>
    <w:uiPriority w:val="0"/>
    <w:pPr>
      <w:widowControl/>
      <w:spacing w:before="45" w:line="375" w:lineRule="atLeast"/>
      <w:jc w:val="right"/>
    </w:pPr>
    <w:rPr>
      <w:rFonts w:ascii="宋体" w:hAnsi="宋体" w:eastAsia="宋体" w:cs="宋体"/>
      <w:color w:val="666666"/>
      <w:kern w:val="0"/>
      <w:szCs w:val="21"/>
    </w:rPr>
  </w:style>
  <w:style w:type="paragraph" w:customStyle="1" w:styleId="118">
    <w:name w:val="inx_box5"/>
    <w:basedOn w:val="1"/>
    <w:uiPriority w:val="0"/>
    <w:pPr>
      <w:widowControl/>
      <w:shd w:val="clear" w:color="auto" w:fill="006DCA"/>
      <w:spacing w:before="150"/>
      <w:jc w:val="left"/>
    </w:pPr>
    <w:rPr>
      <w:rFonts w:ascii="宋体" w:hAnsi="宋体" w:eastAsia="宋体" w:cs="宋体"/>
      <w:kern w:val="0"/>
      <w:sz w:val="24"/>
      <w:szCs w:val="24"/>
    </w:rPr>
  </w:style>
  <w:style w:type="paragraph" w:customStyle="1" w:styleId="119">
    <w:name w:val="inx_box6"/>
    <w:basedOn w:val="1"/>
    <w:qFormat/>
    <w:uiPriority w:val="0"/>
    <w:pPr>
      <w:widowControl/>
      <w:shd w:val="clear" w:color="auto" w:fill="2B89E0"/>
      <w:jc w:val="left"/>
    </w:pPr>
    <w:rPr>
      <w:rFonts w:ascii="宋体" w:hAnsi="宋体" w:eastAsia="宋体" w:cs="宋体"/>
      <w:kern w:val="0"/>
      <w:sz w:val="24"/>
      <w:szCs w:val="24"/>
    </w:rPr>
  </w:style>
  <w:style w:type="paragraph" w:customStyle="1" w:styleId="120">
    <w:name w:val="inx_text2"/>
    <w:basedOn w:val="1"/>
    <w:qFormat/>
    <w:uiPriority w:val="0"/>
    <w:pPr>
      <w:widowControl/>
      <w:spacing w:line="690" w:lineRule="atLeast"/>
      <w:jc w:val="center"/>
    </w:pPr>
    <w:rPr>
      <w:rFonts w:ascii="宋体" w:hAnsi="宋体" w:eastAsia="宋体" w:cs="宋体"/>
      <w:b/>
      <w:bCs/>
      <w:color w:val="FFFFFF"/>
      <w:kern w:val="0"/>
      <w:sz w:val="24"/>
      <w:szCs w:val="24"/>
    </w:rPr>
  </w:style>
  <w:style w:type="paragraph" w:customStyle="1" w:styleId="121">
    <w:name w:val="inx_box8"/>
    <w:basedOn w:val="1"/>
    <w:qFormat/>
    <w:uiPriority w:val="0"/>
    <w:pPr>
      <w:widowControl/>
      <w:spacing w:before="150"/>
      <w:jc w:val="left"/>
    </w:pPr>
    <w:rPr>
      <w:rFonts w:ascii="宋体" w:hAnsi="宋体" w:eastAsia="宋体" w:cs="宋体"/>
      <w:kern w:val="0"/>
      <w:sz w:val="24"/>
      <w:szCs w:val="24"/>
    </w:rPr>
  </w:style>
  <w:style w:type="paragraph" w:customStyle="1" w:styleId="122">
    <w:name w:val="inx_image1"/>
    <w:basedOn w:val="1"/>
    <w:qFormat/>
    <w:uiPriority w:val="0"/>
    <w:pPr>
      <w:widowControl/>
      <w:jc w:val="left"/>
    </w:pPr>
    <w:rPr>
      <w:rFonts w:ascii="宋体" w:hAnsi="宋体" w:eastAsia="宋体" w:cs="宋体"/>
      <w:color w:val="000000"/>
      <w:kern w:val="0"/>
      <w:sz w:val="24"/>
      <w:szCs w:val="24"/>
    </w:rPr>
  </w:style>
  <w:style w:type="paragraph" w:customStyle="1" w:styleId="123">
    <w:name w:val="inx_box9"/>
    <w:basedOn w:val="1"/>
    <w:qFormat/>
    <w:uiPriority w:val="0"/>
    <w:pPr>
      <w:widowControl/>
      <w:shd w:val="clear" w:color="auto" w:fill="FFFFFF"/>
      <w:spacing w:before="150"/>
      <w:jc w:val="left"/>
    </w:pPr>
    <w:rPr>
      <w:rFonts w:ascii="宋体" w:hAnsi="宋体" w:eastAsia="宋体" w:cs="宋体"/>
      <w:kern w:val="0"/>
      <w:sz w:val="24"/>
      <w:szCs w:val="24"/>
    </w:rPr>
  </w:style>
  <w:style w:type="paragraph" w:customStyle="1" w:styleId="124">
    <w:name w:val="inx_box10"/>
    <w:basedOn w:val="1"/>
    <w:qFormat/>
    <w:uiPriority w:val="0"/>
    <w:pPr>
      <w:widowControl/>
      <w:spacing w:before="150"/>
      <w:jc w:val="left"/>
    </w:pPr>
    <w:rPr>
      <w:rFonts w:ascii="宋体" w:hAnsi="宋体" w:eastAsia="宋体" w:cs="宋体"/>
      <w:kern w:val="0"/>
      <w:sz w:val="24"/>
      <w:szCs w:val="24"/>
    </w:rPr>
  </w:style>
  <w:style w:type="paragraph" w:customStyle="1" w:styleId="125">
    <w:name w:val="inx_box11"/>
    <w:basedOn w:val="1"/>
    <w:uiPriority w:val="0"/>
    <w:pPr>
      <w:widowControl/>
      <w:jc w:val="left"/>
    </w:pPr>
    <w:rPr>
      <w:rFonts w:ascii="宋体" w:hAnsi="宋体" w:eastAsia="宋体" w:cs="宋体"/>
      <w:kern w:val="0"/>
      <w:sz w:val="24"/>
      <w:szCs w:val="24"/>
    </w:rPr>
  </w:style>
  <w:style w:type="paragraph" w:customStyle="1" w:styleId="126">
    <w:name w:val="inx_image2"/>
    <w:basedOn w:val="1"/>
    <w:qFormat/>
    <w:uiPriority w:val="0"/>
    <w:pPr>
      <w:widowControl/>
      <w:jc w:val="left"/>
    </w:pPr>
    <w:rPr>
      <w:rFonts w:ascii="宋体" w:hAnsi="宋体" w:eastAsia="宋体" w:cs="宋体"/>
      <w:color w:val="000000"/>
      <w:kern w:val="0"/>
      <w:sz w:val="24"/>
      <w:szCs w:val="24"/>
    </w:rPr>
  </w:style>
  <w:style w:type="paragraph" w:customStyle="1" w:styleId="127">
    <w:name w:val="inx_box12"/>
    <w:basedOn w:val="1"/>
    <w:qFormat/>
    <w:uiPriority w:val="0"/>
    <w:pPr>
      <w:widowControl/>
      <w:jc w:val="left"/>
    </w:pPr>
    <w:rPr>
      <w:rFonts w:ascii="宋体" w:hAnsi="宋体" w:eastAsia="宋体" w:cs="宋体"/>
      <w:kern w:val="0"/>
      <w:sz w:val="24"/>
      <w:szCs w:val="24"/>
    </w:rPr>
  </w:style>
  <w:style w:type="paragraph" w:customStyle="1" w:styleId="128">
    <w:name w:val="inx_box13"/>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29">
    <w:name w:val="inx_box13b"/>
    <w:basedOn w:val="1"/>
    <w:qFormat/>
    <w:uiPriority w:val="0"/>
    <w:pPr>
      <w:widowControl/>
      <w:pBdr>
        <w:top w:val="single" w:color="E51C23" w:sz="12" w:space="0"/>
        <w:bottom w:val="single" w:color="DDDDDD" w:sz="6" w:space="0"/>
      </w:pBdr>
      <w:spacing w:before="150"/>
      <w:jc w:val="left"/>
    </w:pPr>
    <w:rPr>
      <w:rFonts w:ascii="宋体" w:hAnsi="宋体" w:eastAsia="宋体" w:cs="宋体"/>
      <w:kern w:val="0"/>
      <w:sz w:val="24"/>
      <w:szCs w:val="24"/>
    </w:rPr>
  </w:style>
  <w:style w:type="paragraph" w:customStyle="1" w:styleId="130">
    <w:name w:val="inx_text4"/>
    <w:basedOn w:val="1"/>
    <w:qFormat/>
    <w:uiPriority w:val="0"/>
    <w:pPr>
      <w:widowControl/>
      <w:spacing w:line="570" w:lineRule="atLeast"/>
      <w:jc w:val="left"/>
    </w:pPr>
    <w:rPr>
      <w:rFonts w:ascii="宋体" w:hAnsi="宋体" w:eastAsia="宋体" w:cs="宋体"/>
      <w:b/>
      <w:bCs/>
      <w:color w:val="006DCA"/>
      <w:kern w:val="0"/>
      <w:sz w:val="30"/>
      <w:szCs w:val="30"/>
    </w:rPr>
  </w:style>
  <w:style w:type="paragraph" w:customStyle="1" w:styleId="131">
    <w:name w:val="inx_box14"/>
    <w:basedOn w:val="1"/>
    <w:qFormat/>
    <w:uiPriority w:val="0"/>
    <w:pPr>
      <w:widowControl/>
      <w:ind w:left="240"/>
      <w:jc w:val="left"/>
    </w:pPr>
    <w:rPr>
      <w:rFonts w:ascii="宋体" w:hAnsi="宋体" w:eastAsia="宋体" w:cs="宋体"/>
      <w:kern w:val="0"/>
      <w:sz w:val="24"/>
      <w:szCs w:val="24"/>
    </w:rPr>
  </w:style>
  <w:style w:type="paragraph" w:customStyle="1" w:styleId="132">
    <w:name w:val="inx_text7"/>
    <w:basedOn w:val="1"/>
    <w:uiPriority w:val="0"/>
    <w:pPr>
      <w:widowControl/>
      <w:spacing w:line="600" w:lineRule="atLeast"/>
      <w:ind w:right="75"/>
      <w:jc w:val="left"/>
    </w:pPr>
    <w:rPr>
      <w:rFonts w:ascii="宋体" w:hAnsi="宋体" w:eastAsia="宋体" w:cs="宋体"/>
      <w:color w:val="E51C23"/>
      <w:kern w:val="0"/>
      <w:szCs w:val="21"/>
    </w:rPr>
  </w:style>
  <w:style w:type="paragraph" w:customStyle="1" w:styleId="133">
    <w:name w:val="inx_box15"/>
    <w:basedOn w:val="1"/>
    <w:qFormat/>
    <w:uiPriority w:val="0"/>
    <w:pPr>
      <w:widowControl/>
      <w:jc w:val="left"/>
    </w:pPr>
    <w:rPr>
      <w:rFonts w:ascii="宋体" w:hAnsi="宋体" w:eastAsia="宋体" w:cs="宋体"/>
      <w:kern w:val="0"/>
      <w:sz w:val="24"/>
      <w:szCs w:val="24"/>
    </w:rPr>
  </w:style>
  <w:style w:type="paragraph" w:customStyle="1" w:styleId="134">
    <w:name w:val="inx_text5"/>
    <w:basedOn w:val="1"/>
    <w:qFormat/>
    <w:uiPriority w:val="0"/>
    <w:pPr>
      <w:widowControl/>
      <w:spacing w:line="600" w:lineRule="atLeast"/>
      <w:jc w:val="center"/>
    </w:pPr>
    <w:rPr>
      <w:rFonts w:ascii="宋体" w:hAnsi="宋体" w:eastAsia="宋体" w:cs="宋体"/>
      <w:color w:val="444444"/>
      <w:kern w:val="0"/>
      <w:szCs w:val="21"/>
    </w:rPr>
  </w:style>
  <w:style w:type="paragraph" w:customStyle="1" w:styleId="135">
    <w:name w:val="inx_box16"/>
    <w:basedOn w:val="1"/>
    <w:qFormat/>
    <w:uiPriority w:val="0"/>
    <w:pPr>
      <w:widowControl/>
      <w:jc w:val="left"/>
    </w:pPr>
    <w:rPr>
      <w:rFonts w:ascii="宋体" w:hAnsi="宋体" w:eastAsia="宋体" w:cs="宋体"/>
      <w:kern w:val="0"/>
      <w:sz w:val="24"/>
      <w:szCs w:val="24"/>
    </w:rPr>
  </w:style>
  <w:style w:type="paragraph" w:customStyle="1" w:styleId="136">
    <w:name w:val="inx_text6"/>
    <w:basedOn w:val="1"/>
    <w:qFormat/>
    <w:uiPriority w:val="0"/>
    <w:pPr>
      <w:widowControl/>
      <w:pBdr>
        <w:bottom w:val="single" w:color="E51C23" w:sz="18" w:space="0"/>
      </w:pBdr>
      <w:spacing w:line="600" w:lineRule="atLeast"/>
      <w:jc w:val="center"/>
    </w:pPr>
    <w:rPr>
      <w:rFonts w:ascii="宋体" w:hAnsi="宋体" w:eastAsia="宋体" w:cs="宋体"/>
      <w:b/>
      <w:bCs/>
      <w:color w:val="E51C23"/>
      <w:kern w:val="0"/>
      <w:szCs w:val="21"/>
    </w:rPr>
  </w:style>
  <w:style w:type="paragraph" w:customStyle="1" w:styleId="137">
    <w:name w:val="inx_box17"/>
    <w:basedOn w:val="1"/>
    <w:qFormat/>
    <w:uiPriority w:val="0"/>
    <w:pPr>
      <w:widowControl/>
      <w:spacing w:before="150"/>
      <w:jc w:val="left"/>
    </w:pPr>
    <w:rPr>
      <w:rFonts w:ascii="宋体" w:hAnsi="宋体" w:eastAsia="宋体" w:cs="宋体"/>
      <w:kern w:val="0"/>
      <w:sz w:val="24"/>
      <w:szCs w:val="24"/>
    </w:rPr>
  </w:style>
  <w:style w:type="paragraph" w:customStyle="1" w:styleId="138">
    <w:name w:val="inx_box18"/>
    <w:basedOn w:val="1"/>
    <w:qFormat/>
    <w:uiPriority w:val="0"/>
    <w:pPr>
      <w:widowControl/>
      <w:spacing w:before="240"/>
      <w:jc w:val="left"/>
    </w:pPr>
    <w:rPr>
      <w:rFonts w:ascii="宋体" w:hAnsi="宋体" w:eastAsia="宋体" w:cs="宋体"/>
      <w:kern w:val="0"/>
      <w:sz w:val="24"/>
      <w:szCs w:val="24"/>
    </w:rPr>
  </w:style>
  <w:style w:type="paragraph" w:customStyle="1" w:styleId="139">
    <w:name w:val="inx_box19"/>
    <w:basedOn w:val="1"/>
    <w:uiPriority w:val="0"/>
    <w:pPr>
      <w:widowControl/>
      <w:jc w:val="left"/>
    </w:pPr>
    <w:rPr>
      <w:rFonts w:ascii="宋体" w:hAnsi="宋体" w:eastAsia="宋体" w:cs="宋体"/>
      <w:kern w:val="0"/>
      <w:sz w:val="24"/>
      <w:szCs w:val="24"/>
    </w:rPr>
  </w:style>
  <w:style w:type="paragraph" w:customStyle="1" w:styleId="140">
    <w:name w:val="inx_box20"/>
    <w:basedOn w:val="1"/>
    <w:qFormat/>
    <w:uiPriority w:val="0"/>
    <w:pPr>
      <w:widowControl/>
      <w:spacing w:before="375"/>
      <w:jc w:val="left"/>
    </w:pPr>
    <w:rPr>
      <w:rFonts w:ascii="宋体" w:hAnsi="宋体" w:eastAsia="宋体" w:cs="宋体"/>
      <w:kern w:val="0"/>
      <w:sz w:val="24"/>
      <w:szCs w:val="24"/>
    </w:rPr>
  </w:style>
  <w:style w:type="paragraph" w:customStyle="1" w:styleId="141">
    <w:name w:val="inx_box22"/>
    <w:basedOn w:val="1"/>
    <w:qFormat/>
    <w:uiPriority w:val="0"/>
    <w:pPr>
      <w:widowControl/>
      <w:jc w:val="left"/>
    </w:pPr>
    <w:rPr>
      <w:rFonts w:ascii="宋体" w:hAnsi="宋体" w:eastAsia="宋体" w:cs="宋体"/>
      <w:kern w:val="0"/>
      <w:sz w:val="24"/>
      <w:szCs w:val="24"/>
    </w:rPr>
  </w:style>
  <w:style w:type="paragraph" w:customStyle="1" w:styleId="142">
    <w:name w:val="inx_box23"/>
    <w:basedOn w:val="1"/>
    <w:qFormat/>
    <w:uiPriority w:val="0"/>
    <w:pPr>
      <w:widowControl/>
      <w:shd w:val="clear" w:color="auto" w:fill="F7F7F7"/>
      <w:spacing w:before="240"/>
      <w:jc w:val="left"/>
    </w:pPr>
    <w:rPr>
      <w:rFonts w:ascii="宋体" w:hAnsi="宋体" w:eastAsia="宋体" w:cs="宋体"/>
      <w:kern w:val="0"/>
      <w:sz w:val="24"/>
      <w:szCs w:val="24"/>
    </w:rPr>
  </w:style>
  <w:style w:type="paragraph" w:customStyle="1" w:styleId="143">
    <w:name w:val="inx_box23b"/>
    <w:basedOn w:val="1"/>
    <w:qFormat/>
    <w:uiPriority w:val="0"/>
    <w:pPr>
      <w:widowControl/>
      <w:shd w:val="clear" w:color="auto" w:fill="F7F7F7"/>
      <w:spacing w:before="150" w:after="150"/>
      <w:jc w:val="left"/>
    </w:pPr>
    <w:rPr>
      <w:rFonts w:ascii="宋体" w:hAnsi="宋体" w:eastAsia="宋体" w:cs="宋体"/>
      <w:kern w:val="0"/>
      <w:sz w:val="24"/>
      <w:szCs w:val="24"/>
    </w:rPr>
  </w:style>
  <w:style w:type="paragraph" w:customStyle="1" w:styleId="144">
    <w:name w:val="inx_box23c"/>
    <w:basedOn w:val="1"/>
    <w:qFormat/>
    <w:uiPriority w:val="0"/>
    <w:pPr>
      <w:widowControl/>
      <w:spacing w:before="150"/>
      <w:jc w:val="left"/>
    </w:pPr>
    <w:rPr>
      <w:rFonts w:ascii="宋体" w:hAnsi="宋体" w:eastAsia="宋体" w:cs="宋体"/>
      <w:kern w:val="0"/>
      <w:sz w:val="24"/>
      <w:szCs w:val="24"/>
    </w:rPr>
  </w:style>
  <w:style w:type="paragraph" w:customStyle="1" w:styleId="145">
    <w:name w:val="tbimg"/>
    <w:basedOn w:val="1"/>
    <w:qFormat/>
    <w:uiPriority w:val="0"/>
    <w:pPr>
      <w:widowControl/>
      <w:spacing w:before="90"/>
      <w:jc w:val="left"/>
    </w:pPr>
    <w:rPr>
      <w:rFonts w:ascii="宋体" w:hAnsi="宋体" w:eastAsia="宋体" w:cs="宋体"/>
      <w:kern w:val="0"/>
      <w:sz w:val="24"/>
      <w:szCs w:val="24"/>
    </w:rPr>
  </w:style>
  <w:style w:type="paragraph" w:customStyle="1" w:styleId="146">
    <w:name w:val="inx_box24"/>
    <w:basedOn w:val="1"/>
    <w:uiPriority w:val="0"/>
    <w:pPr>
      <w:widowControl/>
      <w:pBdr>
        <w:bottom w:val="single" w:color="E1E1E1" w:sz="6" w:space="0"/>
      </w:pBdr>
      <w:jc w:val="left"/>
    </w:pPr>
    <w:rPr>
      <w:rFonts w:ascii="宋体" w:hAnsi="宋体" w:eastAsia="宋体" w:cs="宋体"/>
      <w:kern w:val="0"/>
      <w:sz w:val="24"/>
      <w:szCs w:val="24"/>
    </w:rPr>
  </w:style>
  <w:style w:type="paragraph" w:customStyle="1" w:styleId="147">
    <w:name w:val="inx_box24b"/>
    <w:basedOn w:val="1"/>
    <w:uiPriority w:val="0"/>
    <w:pPr>
      <w:widowControl/>
      <w:pBdr>
        <w:bottom w:val="single" w:color="E1E1E1" w:sz="6" w:space="0"/>
      </w:pBdr>
      <w:jc w:val="left"/>
    </w:pPr>
    <w:rPr>
      <w:rFonts w:ascii="宋体" w:hAnsi="宋体" w:eastAsia="宋体" w:cs="宋体"/>
      <w:kern w:val="0"/>
      <w:sz w:val="24"/>
      <w:szCs w:val="24"/>
    </w:rPr>
  </w:style>
  <w:style w:type="paragraph" w:customStyle="1" w:styleId="148">
    <w:name w:val="inx_text10"/>
    <w:basedOn w:val="1"/>
    <w:qFormat/>
    <w:uiPriority w:val="0"/>
    <w:pPr>
      <w:widowControl/>
      <w:spacing w:before="180" w:line="300" w:lineRule="atLeast"/>
      <w:ind w:left="180"/>
      <w:jc w:val="center"/>
    </w:pPr>
    <w:rPr>
      <w:rFonts w:ascii="宋体" w:hAnsi="宋体" w:eastAsia="宋体" w:cs="宋体"/>
      <w:color w:val="454545"/>
      <w:kern w:val="0"/>
      <w:sz w:val="23"/>
      <w:szCs w:val="23"/>
    </w:rPr>
  </w:style>
  <w:style w:type="paragraph" w:customStyle="1" w:styleId="149">
    <w:name w:val="inx_box25"/>
    <w:basedOn w:val="1"/>
    <w:qFormat/>
    <w:uiPriority w:val="0"/>
    <w:pPr>
      <w:widowControl/>
      <w:pBdr>
        <w:top w:val="single" w:color="BBBBBB" w:sz="6" w:space="0"/>
        <w:left w:val="single" w:color="BBBBBB" w:sz="6" w:space="0"/>
        <w:bottom w:val="single" w:color="BBBBBB" w:sz="6" w:space="0"/>
        <w:right w:val="single" w:color="BBBBBB" w:sz="6" w:space="0"/>
      </w:pBdr>
      <w:shd w:val="clear" w:color="auto" w:fill="FFFFFF"/>
      <w:spacing w:before="120"/>
      <w:ind w:left="180"/>
      <w:jc w:val="left"/>
    </w:pPr>
    <w:rPr>
      <w:rFonts w:ascii="宋体" w:hAnsi="宋体" w:eastAsia="宋体" w:cs="宋体"/>
      <w:kern w:val="0"/>
      <w:sz w:val="24"/>
      <w:szCs w:val="24"/>
    </w:rPr>
  </w:style>
  <w:style w:type="paragraph" w:customStyle="1" w:styleId="150">
    <w:name w:val="inx_box26"/>
    <w:basedOn w:val="1"/>
    <w:qFormat/>
    <w:uiPriority w:val="0"/>
    <w:pPr>
      <w:widowControl/>
      <w:spacing w:before="120"/>
      <w:ind w:left="180"/>
      <w:jc w:val="left"/>
    </w:pPr>
    <w:rPr>
      <w:rFonts w:ascii="宋体" w:hAnsi="宋体" w:eastAsia="宋体" w:cs="宋体"/>
      <w:kern w:val="0"/>
      <w:sz w:val="24"/>
      <w:szCs w:val="24"/>
    </w:rPr>
  </w:style>
  <w:style w:type="paragraph" w:customStyle="1" w:styleId="151">
    <w:name w:val="inx_box27"/>
    <w:basedOn w:val="1"/>
    <w:qFormat/>
    <w:uiPriority w:val="0"/>
    <w:pPr>
      <w:widowControl/>
      <w:shd w:val="clear" w:color="auto" w:fill="006DCA"/>
      <w:spacing w:before="120" w:line="450" w:lineRule="atLeast"/>
      <w:ind w:left="450"/>
      <w:jc w:val="center"/>
    </w:pPr>
    <w:rPr>
      <w:rFonts w:ascii="宋体" w:hAnsi="宋体" w:eastAsia="宋体" w:cs="宋体"/>
      <w:b/>
      <w:bCs/>
      <w:color w:val="FFFFFF"/>
      <w:kern w:val="0"/>
      <w:sz w:val="23"/>
      <w:szCs w:val="23"/>
    </w:rPr>
  </w:style>
  <w:style w:type="paragraph" w:customStyle="1" w:styleId="152">
    <w:name w:val="inx_text11"/>
    <w:basedOn w:val="1"/>
    <w:qFormat/>
    <w:uiPriority w:val="0"/>
    <w:pPr>
      <w:widowControl/>
      <w:spacing w:before="90"/>
      <w:jc w:val="left"/>
    </w:pPr>
    <w:rPr>
      <w:rFonts w:ascii="宋体" w:hAnsi="宋体" w:eastAsia="宋体" w:cs="宋体"/>
      <w:kern w:val="0"/>
      <w:sz w:val="24"/>
      <w:szCs w:val="24"/>
    </w:rPr>
  </w:style>
  <w:style w:type="paragraph" w:customStyle="1" w:styleId="153">
    <w:name w:val="inx_box28"/>
    <w:basedOn w:val="1"/>
    <w:uiPriority w:val="0"/>
    <w:pPr>
      <w:widowControl/>
      <w:spacing w:before="240"/>
      <w:jc w:val="left"/>
    </w:pPr>
    <w:rPr>
      <w:rFonts w:ascii="宋体" w:hAnsi="宋体" w:eastAsia="宋体" w:cs="宋体"/>
      <w:kern w:val="0"/>
      <w:sz w:val="24"/>
      <w:szCs w:val="24"/>
    </w:rPr>
  </w:style>
  <w:style w:type="paragraph" w:customStyle="1" w:styleId="154">
    <w:name w:val="inx_image4"/>
    <w:basedOn w:val="1"/>
    <w:uiPriority w:val="0"/>
    <w:pPr>
      <w:widowControl/>
      <w:jc w:val="left"/>
    </w:pPr>
    <w:rPr>
      <w:rFonts w:ascii="宋体" w:hAnsi="宋体" w:eastAsia="宋体" w:cs="宋体"/>
      <w:color w:val="000000"/>
      <w:kern w:val="0"/>
      <w:sz w:val="24"/>
      <w:szCs w:val="24"/>
    </w:rPr>
  </w:style>
  <w:style w:type="paragraph" w:customStyle="1" w:styleId="155">
    <w:name w:val="inx_box29"/>
    <w:basedOn w:val="1"/>
    <w:qFormat/>
    <w:uiPriority w:val="0"/>
    <w:pPr>
      <w:widowControl/>
      <w:spacing w:before="300"/>
      <w:jc w:val="left"/>
    </w:pPr>
    <w:rPr>
      <w:rFonts w:ascii="宋体" w:hAnsi="宋体" w:eastAsia="宋体" w:cs="宋体"/>
      <w:kern w:val="0"/>
      <w:sz w:val="24"/>
      <w:szCs w:val="24"/>
    </w:rPr>
  </w:style>
  <w:style w:type="paragraph" w:customStyle="1" w:styleId="156">
    <w:name w:val="inx_box30"/>
    <w:basedOn w:val="1"/>
    <w:qFormat/>
    <w:uiPriority w:val="0"/>
    <w:pPr>
      <w:widowControl/>
      <w:jc w:val="left"/>
    </w:pPr>
    <w:rPr>
      <w:rFonts w:ascii="宋体" w:hAnsi="宋体" w:eastAsia="宋体" w:cs="宋体"/>
      <w:kern w:val="0"/>
      <w:sz w:val="24"/>
      <w:szCs w:val="24"/>
    </w:rPr>
  </w:style>
  <w:style w:type="paragraph" w:customStyle="1" w:styleId="157">
    <w:name w:val="inx_box43"/>
    <w:basedOn w:val="1"/>
    <w:qFormat/>
    <w:uiPriority w:val="0"/>
    <w:pPr>
      <w:widowControl/>
      <w:jc w:val="left"/>
    </w:pPr>
    <w:rPr>
      <w:rFonts w:ascii="宋体" w:hAnsi="宋体" w:eastAsia="宋体" w:cs="宋体"/>
      <w:kern w:val="0"/>
      <w:sz w:val="24"/>
      <w:szCs w:val="24"/>
    </w:rPr>
  </w:style>
  <w:style w:type="paragraph" w:customStyle="1" w:styleId="158">
    <w:name w:val="inx_box21"/>
    <w:basedOn w:val="1"/>
    <w:qFormat/>
    <w:uiPriority w:val="0"/>
    <w:pPr>
      <w:widowControl/>
      <w:spacing w:after="225"/>
      <w:jc w:val="left"/>
    </w:pPr>
    <w:rPr>
      <w:rFonts w:ascii="宋体" w:hAnsi="宋体" w:eastAsia="宋体" w:cs="宋体"/>
      <w:kern w:val="0"/>
      <w:sz w:val="24"/>
      <w:szCs w:val="24"/>
    </w:rPr>
  </w:style>
  <w:style w:type="paragraph" w:customStyle="1" w:styleId="159">
    <w:name w:val="inx_box32"/>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60">
    <w:name w:val="inx_text12"/>
    <w:basedOn w:val="1"/>
    <w:qFormat/>
    <w:uiPriority w:val="0"/>
    <w:pPr>
      <w:widowControl/>
      <w:spacing w:line="600" w:lineRule="atLeast"/>
      <w:ind w:left="525"/>
      <w:jc w:val="center"/>
    </w:pPr>
    <w:rPr>
      <w:rFonts w:ascii="宋体" w:hAnsi="宋体" w:eastAsia="宋体" w:cs="宋体"/>
      <w:color w:val="444444"/>
      <w:kern w:val="0"/>
      <w:szCs w:val="21"/>
    </w:rPr>
  </w:style>
  <w:style w:type="paragraph" w:customStyle="1" w:styleId="161">
    <w:name w:val="inx_box31"/>
    <w:basedOn w:val="1"/>
    <w:qFormat/>
    <w:uiPriority w:val="0"/>
    <w:pPr>
      <w:widowControl/>
      <w:jc w:val="left"/>
    </w:pPr>
    <w:rPr>
      <w:rFonts w:ascii="宋体" w:hAnsi="宋体" w:eastAsia="宋体" w:cs="宋体"/>
      <w:kern w:val="0"/>
      <w:sz w:val="24"/>
      <w:szCs w:val="24"/>
    </w:rPr>
  </w:style>
  <w:style w:type="paragraph" w:customStyle="1" w:styleId="162">
    <w:name w:val="inx_box33"/>
    <w:basedOn w:val="1"/>
    <w:uiPriority w:val="0"/>
    <w:pPr>
      <w:widowControl/>
      <w:jc w:val="left"/>
    </w:pPr>
    <w:rPr>
      <w:rFonts w:ascii="宋体" w:hAnsi="宋体" w:eastAsia="宋体" w:cs="宋体"/>
      <w:kern w:val="0"/>
      <w:sz w:val="24"/>
      <w:szCs w:val="24"/>
    </w:rPr>
  </w:style>
  <w:style w:type="paragraph" w:customStyle="1" w:styleId="163">
    <w:name w:val="inx_box34"/>
    <w:basedOn w:val="1"/>
    <w:qFormat/>
    <w:uiPriority w:val="0"/>
    <w:pPr>
      <w:widowControl/>
      <w:jc w:val="left"/>
    </w:pPr>
    <w:rPr>
      <w:rFonts w:ascii="宋体" w:hAnsi="宋体" w:eastAsia="宋体" w:cs="宋体"/>
      <w:kern w:val="0"/>
      <w:sz w:val="24"/>
      <w:szCs w:val="24"/>
    </w:rPr>
  </w:style>
  <w:style w:type="paragraph" w:customStyle="1" w:styleId="164">
    <w:name w:val="inx_box35"/>
    <w:basedOn w:val="1"/>
    <w:qFormat/>
    <w:uiPriority w:val="0"/>
    <w:pPr>
      <w:widowControl/>
      <w:jc w:val="left"/>
    </w:pPr>
    <w:rPr>
      <w:rFonts w:ascii="宋体" w:hAnsi="宋体" w:eastAsia="宋体" w:cs="宋体"/>
      <w:kern w:val="0"/>
      <w:sz w:val="24"/>
      <w:szCs w:val="24"/>
    </w:rPr>
  </w:style>
  <w:style w:type="paragraph" w:customStyle="1" w:styleId="165">
    <w:name w:val="inx_text13"/>
    <w:basedOn w:val="1"/>
    <w:qFormat/>
    <w:uiPriority w:val="0"/>
    <w:pPr>
      <w:widowControl/>
      <w:spacing w:line="480" w:lineRule="atLeast"/>
      <w:jc w:val="center"/>
    </w:pPr>
    <w:rPr>
      <w:rFonts w:ascii="宋体" w:hAnsi="宋体" w:eastAsia="宋体" w:cs="宋体"/>
      <w:color w:val="454545"/>
      <w:kern w:val="0"/>
      <w:szCs w:val="21"/>
    </w:rPr>
  </w:style>
  <w:style w:type="paragraph" w:customStyle="1" w:styleId="166">
    <w:name w:val="inx_box36"/>
    <w:basedOn w:val="1"/>
    <w:qFormat/>
    <w:uiPriority w:val="0"/>
    <w:pPr>
      <w:widowControl/>
      <w:jc w:val="left"/>
    </w:pPr>
    <w:rPr>
      <w:rFonts w:ascii="宋体" w:hAnsi="宋体" w:eastAsia="宋体" w:cs="宋体"/>
      <w:kern w:val="0"/>
      <w:sz w:val="24"/>
      <w:szCs w:val="24"/>
    </w:rPr>
  </w:style>
  <w:style w:type="paragraph" w:customStyle="1" w:styleId="167">
    <w:name w:val="inx_text14"/>
    <w:basedOn w:val="1"/>
    <w:qFormat/>
    <w:uiPriority w:val="0"/>
    <w:pPr>
      <w:widowControl/>
      <w:pBdr>
        <w:bottom w:val="single" w:color="E51C23" w:sz="12" w:space="0"/>
      </w:pBdr>
      <w:spacing w:line="480" w:lineRule="atLeast"/>
      <w:jc w:val="center"/>
    </w:pPr>
    <w:rPr>
      <w:rFonts w:ascii="宋体" w:hAnsi="宋体" w:eastAsia="宋体" w:cs="宋体"/>
      <w:b/>
      <w:bCs/>
      <w:color w:val="E51C23"/>
      <w:kern w:val="0"/>
      <w:szCs w:val="21"/>
    </w:rPr>
  </w:style>
  <w:style w:type="paragraph" w:customStyle="1" w:styleId="168">
    <w:name w:val="inx_box37"/>
    <w:basedOn w:val="1"/>
    <w:qFormat/>
    <w:uiPriority w:val="0"/>
    <w:pPr>
      <w:widowControl/>
      <w:spacing w:before="120"/>
      <w:jc w:val="left"/>
    </w:pPr>
    <w:rPr>
      <w:rFonts w:ascii="宋体" w:hAnsi="宋体" w:eastAsia="宋体" w:cs="宋体"/>
      <w:kern w:val="0"/>
      <w:sz w:val="24"/>
      <w:szCs w:val="24"/>
    </w:rPr>
  </w:style>
  <w:style w:type="paragraph" w:customStyle="1" w:styleId="169">
    <w:name w:val="inx_box38"/>
    <w:basedOn w:val="1"/>
    <w:qFormat/>
    <w:uiPriority w:val="0"/>
    <w:pPr>
      <w:widowControl/>
      <w:jc w:val="left"/>
    </w:pPr>
    <w:rPr>
      <w:rFonts w:ascii="宋体" w:hAnsi="宋体" w:eastAsia="宋体" w:cs="宋体"/>
      <w:kern w:val="0"/>
      <w:sz w:val="24"/>
      <w:szCs w:val="24"/>
    </w:rPr>
  </w:style>
  <w:style w:type="paragraph" w:customStyle="1" w:styleId="170">
    <w:name w:val="inx_text15"/>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1">
    <w:name w:val="inx_text16"/>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2">
    <w:name w:val="inx_text17"/>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3">
    <w:name w:val="inx_text17b"/>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4">
    <w:name w:val="inx_day"/>
    <w:basedOn w:val="1"/>
    <w:qFormat/>
    <w:uiPriority w:val="0"/>
    <w:pPr>
      <w:widowControl/>
      <w:spacing w:line="420" w:lineRule="atLeast"/>
      <w:ind w:left="75"/>
      <w:jc w:val="left"/>
    </w:pPr>
    <w:rPr>
      <w:rFonts w:ascii="宋体" w:hAnsi="宋体" w:eastAsia="宋体" w:cs="宋体"/>
      <w:color w:val="8C8C8C"/>
      <w:kern w:val="0"/>
      <w:sz w:val="20"/>
      <w:szCs w:val="20"/>
    </w:rPr>
  </w:style>
  <w:style w:type="paragraph" w:customStyle="1" w:styleId="175">
    <w:name w:val="inx_box39"/>
    <w:basedOn w:val="1"/>
    <w:qFormat/>
    <w:uiPriority w:val="0"/>
    <w:pPr>
      <w:widowControl/>
      <w:spacing w:before="180"/>
      <w:jc w:val="left"/>
    </w:pPr>
    <w:rPr>
      <w:rFonts w:ascii="宋体" w:hAnsi="宋体" w:eastAsia="宋体" w:cs="宋体"/>
      <w:kern w:val="0"/>
      <w:sz w:val="24"/>
      <w:szCs w:val="24"/>
    </w:rPr>
  </w:style>
  <w:style w:type="paragraph" w:customStyle="1" w:styleId="176">
    <w:name w:val="inx_box42"/>
    <w:basedOn w:val="1"/>
    <w:qFormat/>
    <w:uiPriority w:val="0"/>
    <w:pPr>
      <w:widowControl/>
      <w:spacing w:before="180"/>
      <w:jc w:val="left"/>
    </w:pPr>
    <w:rPr>
      <w:rFonts w:ascii="宋体" w:hAnsi="宋体" w:eastAsia="宋体" w:cs="宋体"/>
      <w:kern w:val="0"/>
      <w:sz w:val="24"/>
      <w:szCs w:val="24"/>
    </w:rPr>
  </w:style>
  <w:style w:type="paragraph" w:customStyle="1" w:styleId="177">
    <w:name w:val="inx_box42b"/>
    <w:basedOn w:val="1"/>
    <w:uiPriority w:val="0"/>
    <w:pPr>
      <w:widowControl/>
      <w:spacing w:before="300"/>
      <w:jc w:val="left"/>
    </w:pPr>
    <w:rPr>
      <w:rFonts w:ascii="宋体" w:hAnsi="宋体" w:eastAsia="宋体" w:cs="宋体"/>
      <w:kern w:val="0"/>
      <w:sz w:val="24"/>
      <w:szCs w:val="24"/>
    </w:rPr>
  </w:style>
  <w:style w:type="paragraph" w:customStyle="1" w:styleId="178">
    <w:name w:val="inx_box41"/>
    <w:basedOn w:val="1"/>
    <w:qFormat/>
    <w:uiPriority w:val="0"/>
    <w:pPr>
      <w:widowControl/>
      <w:spacing w:before="240"/>
      <w:jc w:val="left"/>
    </w:pPr>
    <w:rPr>
      <w:rFonts w:ascii="宋体" w:hAnsi="宋体" w:eastAsia="宋体" w:cs="宋体"/>
      <w:kern w:val="0"/>
      <w:sz w:val="24"/>
      <w:szCs w:val="24"/>
    </w:rPr>
  </w:style>
  <w:style w:type="paragraph" w:customStyle="1" w:styleId="179">
    <w:name w:val="inx_box40"/>
    <w:basedOn w:val="1"/>
    <w:qFormat/>
    <w:uiPriority w:val="0"/>
    <w:pPr>
      <w:widowControl/>
      <w:spacing w:before="240"/>
      <w:jc w:val="left"/>
    </w:pPr>
    <w:rPr>
      <w:rFonts w:ascii="宋体" w:hAnsi="宋体" w:eastAsia="宋体" w:cs="宋体"/>
      <w:kern w:val="0"/>
      <w:sz w:val="24"/>
      <w:szCs w:val="24"/>
    </w:rPr>
  </w:style>
  <w:style w:type="paragraph" w:customStyle="1" w:styleId="180">
    <w:name w:val="inx_image5"/>
    <w:basedOn w:val="1"/>
    <w:qFormat/>
    <w:uiPriority w:val="0"/>
    <w:pPr>
      <w:widowControl/>
      <w:jc w:val="left"/>
    </w:pPr>
    <w:rPr>
      <w:rFonts w:ascii="宋体" w:hAnsi="宋体" w:eastAsia="宋体" w:cs="宋体"/>
      <w:color w:val="000000"/>
      <w:kern w:val="0"/>
      <w:sz w:val="24"/>
      <w:szCs w:val="24"/>
    </w:rPr>
  </w:style>
  <w:style w:type="paragraph" w:customStyle="1" w:styleId="181">
    <w:name w:val="inx_box44"/>
    <w:basedOn w:val="1"/>
    <w:qFormat/>
    <w:uiPriority w:val="0"/>
    <w:pPr>
      <w:widowControl/>
      <w:jc w:val="left"/>
    </w:pPr>
    <w:rPr>
      <w:rFonts w:ascii="宋体" w:hAnsi="宋体" w:eastAsia="宋体" w:cs="宋体"/>
      <w:kern w:val="0"/>
      <w:sz w:val="24"/>
      <w:szCs w:val="24"/>
    </w:rPr>
  </w:style>
  <w:style w:type="paragraph" w:customStyle="1" w:styleId="182">
    <w:name w:val="inx_box45"/>
    <w:basedOn w:val="1"/>
    <w:qFormat/>
    <w:uiPriority w:val="0"/>
    <w:pPr>
      <w:widowControl/>
      <w:shd w:val="clear" w:color="auto" w:fill="006DCA"/>
      <w:spacing w:after="75"/>
      <w:jc w:val="left"/>
    </w:pPr>
    <w:rPr>
      <w:rFonts w:ascii="宋体" w:hAnsi="宋体" w:eastAsia="宋体" w:cs="宋体"/>
      <w:kern w:val="0"/>
      <w:sz w:val="24"/>
      <w:szCs w:val="24"/>
    </w:rPr>
  </w:style>
  <w:style w:type="paragraph" w:customStyle="1" w:styleId="183">
    <w:name w:val="inx_image6"/>
    <w:basedOn w:val="1"/>
    <w:qFormat/>
    <w:uiPriority w:val="0"/>
    <w:pPr>
      <w:widowControl/>
      <w:spacing w:before="120"/>
      <w:ind w:left="480"/>
      <w:jc w:val="left"/>
    </w:pPr>
    <w:rPr>
      <w:rFonts w:ascii="宋体" w:hAnsi="宋体" w:eastAsia="宋体" w:cs="宋体"/>
      <w:color w:val="000000"/>
      <w:kern w:val="0"/>
      <w:sz w:val="24"/>
      <w:szCs w:val="24"/>
    </w:rPr>
  </w:style>
  <w:style w:type="paragraph" w:customStyle="1" w:styleId="184">
    <w:name w:val="inx_text19"/>
    <w:basedOn w:val="1"/>
    <w:qFormat/>
    <w:uiPriority w:val="0"/>
    <w:pPr>
      <w:widowControl/>
      <w:spacing w:before="330" w:line="240" w:lineRule="atLeast"/>
      <w:ind w:left="240"/>
      <w:jc w:val="left"/>
    </w:pPr>
    <w:rPr>
      <w:rFonts w:ascii="宋体" w:hAnsi="宋体" w:eastAsia="宋体" w:cs="宋体"/>
      <w:b/>
      <w:bCs/>
      <w:color w:val="FFFFFF"/>
      <w:kern w:val="0"/>
      <w:sz w:val="24"/>
      <w:szCs w:val="24"/>
    </w:rPr>
  </w:style>
  <w:style w:type="paragraph" w:customStyle="1" w:styleId="185">
    <w:name w:val="inx_box46"/>
    <w:basedOn w:val="1"/>
    <w:qFormat/>
    <w:uiPriority w:val="0"/>
    <w:pPr>
      <w:widowControl/>
      <w:spacing w:before="75"/>
      <w:jc w:val="left"/>
    </w:pPr>
    <w:rPr>
      <w:rFonts w:ascii="宋体" w:hAnsi="宋体" w:eastAsia="宋体" w:cs="宋体"/>
      <w:kern w:val="0"/>
      <w:sz w:val="24"/>
      <w:szCs w:val="24"/>
    </w:rPr>
  </w:style>
  <w:style w:type="paragraph" w:customStyle="1" w:styleId="186">
    <w:name w:val="inx_box47"/>
    <w:basedOn w:val="1"/>
    <w:qFormat/>
    <w:uiPriority w:val="0"/>
    <w:pPr>
      <w:widowControl/>
      <w:jc w:val="left"/>
    </w:pPr>
    <w:rPr>
      <w:rFonts w:ascii="宋体" w:hAnsi="宋体" w:eastAsia="宋体" w:cs="宋体"/>
      <w:kern w:val="0"/>
      <w:sz w:val="24"/>
      <w:szCs w:val="24"/>
    </w:rPr>
  </w:style>
  <w:style w:type="paragraph" w:customStyle="1" w:styleId="187">
    <w:name w:val="inx_text20"/>
    <w:basedOn w:val="1"/>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188">
    <w:name w:val="inx_image7"/>
    <w:basedOn w:val="1"/>
    <w:qFormat/>
    <w:uiPriority w:val="0"/>
    <w:pPr>
      <w:widowControl/>
      <w:jc w:val="left"/>
    </w:pPr>
    <w:rPr>
      <w:rFonts w:ascii="宋体" w:hAnsi="宋体" w:eastAsia="宋体" w:cs="宋体"/>
      <w:color w:val="000000"/>
      <w:kern w:val="0"/>
      <w:sz w:val="24"/>
      <w:szCs w:val="24"/>
    </w:rPr>
  </w:style>
  <w:style w:type="paragraph" w:customStyle="1" w:styleId="189">
    <w:name w:val="inx_image8"/>
    <w:basedOn w:val="1"/>
    <w:qFormat/>
    <w:uiPriority w:val="0"/>
    <w:pPr>
      <w:widowControl/>
      <w:jc w:val="left"/>
    </w:pPr>
    <w:rPr>
      <w:rFonts w:ascii="宋体" w:hAnsi="宋体" w:eastAsia="宋体" w:cs="宋体"/>
      <w:color w:val="000000"/>
      <w:kern w:val="0"/>
      <w:sz w:val="24"/>
      <w:szCs w:val="24"/>
    </w:rPr>
  </w:style>
  <w:style w:type="paragraph" w:customStyle="1" w:styleId="190">
    <w:name w:val="inx_box48"/>
    <w:basedOn w:val="1"/>
    <w:qFormat/>
    <w:uiPriority w:val="0"/>
    <w:pPr>
      <w:widowControl/>
      <w:shd w:val="clear" w:color="auto" w:fill="EEEEEE"/>
      <w:spacing w:before="300"/>
      <w:jc w:val="left"/>
    </w:pPr>
    <w:rPr>
      <w:rFonts w:ascii="宋体" w:hAnsi="宋体" w:eastAsia="宋体" w:cs="宋体"/>
      <w:kern w:val="0"/>
      <w:sz w:val="24"/>
      <w:szCs w:val="24"/>
    </w:rPr>
  </w:style>
  <w:style w:type="paragraph" w:customStyle="1" w:styleId="191">
    <w:name w:val="inx_box49"/>
    <w:basedOn w:val="1"/>
    <w:qFormat/>
    <w:uiPriority w:val="0"/>
    <w:pPr>
      <w:widowControl/>
      <w:pBdr>
        <w:bottom w:val="single" w:color="DCDCDC" w:sz="6" w:space="0"/>
      </w:pBdr>
      <w:jc w:val="left"/>
    </w:pPr>
    <w:rPr>
      <w:rFonts w:ascii="宋体" w:hAnsi="宋体" w:eastAsia="宋体" w:cs="宋体"/>
      <w:kern w:val="0"/>
      <w:sz w:val="24"/>
      <w:szCs w:val="24"/>
    </w:rPr>
  </w:style>
  <w:style w:type="paragraph" w:customStyle="1" w:styleId="192">
    <w:name w:val="inx_image9"/>
    <w:basedOn w:val="1"/>
    <w:uiPriority w:val="0"/>
    <w:pPr>
      <w:widowControl/>
      <w:spacing w:before="180"/>
      <w:ind w:left="150"/>
      <w:jc w:val="left"/>
    </w:pPr>
    <w:rPr>
      <w:rFonts w:ascii="宋体" w:hAnsi="宋体" w:eastAsia="宋体" w:cs="宋体"/>
      <w:color w:val="000000"/>
      <w:kern w:val="0"/>
      <w:sz w:val="24"/>
      <w:szCs w:val="24"/>
    </w:rPr>
  </w:style>
  <w:style w:type="paragraph" w:customStyle="1" w:styleId="193">
    <w:name w:val="inx_text21"/>
    <w:basedOn w:val="1"/>
    <w:qFormat/>
    <w:uiPriority w:val="0"/>
    <w:pPr>
      <w:widowControl/>
      <w:spacing w:before="150" w:line="285" w:lineRule="atLeast"/>
      <w:ind w:left="75"/>
      <w:jc w:val="left"/>
    </w:pPr>
    <w:rPr>
      <w:rFonts w:ascii="宋体" w:hAnsi="宋体" w:eastAsia="宋体" w:cs="宋体"/>
      <w:b/>
      <w:bCs/>
      <w:color w:val="444444"/>
      <w:kern w:val="0"/>
      <w:sz w:val="20"/>
      <w:szCs w:val="20"/>
    </w:rPr>
  </w:style>
  <w:style w:type="paragraph" w:customStyle="1" w:styleId="194">
    <w:name w:val="inx_text22"/>
    <w:basedOn w:val="1"/>
    <w:qFormat/>
    <w:uiPriority w:val="0"/>
    <w:pPr>
      <w:widowControl/>
      <w:spacing w:before="240" w:line="390" w:lineRule="atLeast"/>
      <w:ind w:left="75"/>
      <w:jc w:val="left"/>
    </w:pPr>
    <w:rPr>
      <w:rFonts w:ascii="宋体" w:hAnsi="宋体" w:eastAsia="宋体" w:cs="宋体"/>
      <w:b/>
      <w:bCs/>
      <w:color w:val="444444"/>
      <w:kern w:val="0"/>
      <w:sz w:val="24"/>
      <w:szCs w:val="24"/>
    </w:rPr>
  </w:style>
  <w:style w:type="paragraph" w:customStyle="1" w:styleId="195">
    <w:name w:val="inx_box50"/>
    <w:basedOn w:val="1"/>
    <w:qFormat/>
    <w:uiPriority w:val="0"/>
    <w:pPr>
      <w:widowControl/>
      <w:spacing w:before="300"/>
      <w:jc w:val="left"/>
    </w:pPr>
    <w:rPr>
      <w:rFonts w:ascii="宋体" w:hAnsi="宋体" w:eastAsia="宋体" w:cs="宋体"/>
      <w:kern w:val="0"/>
      <w:sz w:val="24"/>
      <w:szCs w:val="24"/>
    </w:rPr>
  </w:style>
  <w:style w:type="paragraph" w:customStyle="1" w:styleId="196">
    <w:name w:val="inx_box51"/>
    <w:basedOn w:val="1"/>
    <w:qFormat/>
    <w:uiPriority w:val="0"/>
    <w:pPr>
      <w:widowControl/>
      <w:pBdr>
        <w:top w:val="single" w:color="006DCA" w:sz="12" w:space="0"/>
      </w:pBdr>
      <w:jc w:val="left"/>
    </w:pPr>
    <w:rPr>
      <w:rFonts w:ascii="宋体" w:hAnsi="宋体" w:eastAsia="宋体" w:cs="宋体"/>
      <w:kern w:val="0"/>
      <w:sz w:val="24"/>
      <w:szCs w:val="24"/>
    </w:rPr>
  </w:style>
  <w:style w:type="paragraph" w:customStyle="1" w:styleId="197">
    <w:name w:val="inx_box52"/>
    <w:basedOn w:val="1"/>
    <w:qFormat/>
    <w:uiPriority w:val="0"/>
    <w:pPr>
      <w:widowControl/>
      <w:spacing w:before="90"/>
      <w:jc w:val="left"/>
    </w:pPr>
    <w:rPr>
      <w:rFonts w:ascii="宋体" w:hAnsi="宋体" w:eastAsia="宋体" w:cs="宋体"/>
      <w:kern w:val="0"/>
      <w:sz w:val="24"/>
      <w:szCs w:val="24"/>
    </w:rPr>
  </w:style>
  <w:style w:type="paragraph" w:customStyle="1" w:styleId="198">
    <w:name w:val="inx_image10"/>
    <w:basedOn w:val="1"/>
    <w:qFormat/>
    <w:uiPriority w:val="0"/>
    <w:pPr>
      <w:widowControl/>
      <w:pBdr>
        <w:top w:val="single" w:color="E1E1E1" w:sz="6" w:space="0"/>
        <w:left w:val="single" w:color="E1E1E1" w:sz="6" w:space="0"/>
        <w:bottom w:val="single" w:color="E1E1E1" w:sz="6" w:space="0"/>
        <w:right w:val="single" w:color="E1E1E1" w:sz="6" w:space="0"/>
      </w:pBdr>
      <w:spacing w:after="240"/>
      <w:ind w:left="75" w:right="90"/>
      <w:jc w:val="left"/>
    </w:pPr>
    <w:rPr>
      <w:rFonts w:ascii="宋体" w:hAnsi="宋体" w:eastAsia="宋体" w:cs="宋体"/>
      <w:color w:val="000000"/>
      <w:kern w:val="0"/>
      <w:sz w:val="24"/>
      <w:szCs w:val="24"/>
    </w:rPr>
  </w:style>
  <w:style w:type="paragraph" w:customStyle="1" w:styleId="199">
    <w:name w:val="inx_box53"/>
    <w:basedOn w:val="1"/>
    <w:qFormat/>
    <w:uiPriority w:val="0"/>
    <w:pPr>
      <w:widowControl/>
      <w:spacing w:before="240"/>
      <w:jc w:val="left"/>
    </w:pPr>
    <w:rPr>
      <w:rFonts w:ascii="宋体" w:hAnsi="宋体" w:eastAsia="宋体" w:cs="宋体"/>
      <w:kern w:val="0"/>
      <w:sz w:val="24"/>
      <w:szCs w:val="24"/>
    </w:rPr>
  </w:style>
  <w:style w:type="paragraph" w:customStyle="1" w:styleId="200">
    <w:name w:val="inx_box54"/>
    <w:basedOn w:val="1"/>
    <w:qFormat/>
    <w:uiPriority w:val="0"/>
    <w:pPr>
      <w:widowControl/>
      <w:shd w:val="clear" w:color="auto" w:fill="006DCA"/>
      <w:jc w:val="left"/>
    </w:pPr>
    <w:rPr>
      <w:rFonts w:ascii="宋体" w:hAnsi="宋体" w:eastAsia="宋体" w:cs="宋体"/>
      <w:kern w:val="0"/>
      <w:sz w:val="24"/>
      <w:szCs w:val="24"/>
    </w:rPr>
  </w:style>
  <w:style w:type="paragraph" w:customStyle="1" w:styleId="201">
    <w:name w:val="inx_text23"/>
    <w:basedOn w:val="1"/>
    <w:qFormat/>
    <w:uiPriority w:val="0"/>
    <w:pPr>
      <w:widowControl/>
      <w:spacing w:before="135" w:line="345" w:lineRule="atLeast"/>
      <w:jc w:val="center"/>
    </w:pPr>
    <w:rPr>
      <w:rFonts w:ascii="宋体" w:hAnsi="宋体" w:eastAsia="宋体" w:cs="宋体"/>
      <w:color w:val="FFFFFF"/>
      <w:kern w:val="0"/>
      <w:sz w:val="24"/>
      <w:szCs w:val="24"/>
    </w:rPr>
  </w:style>
  <w:style w:type="paragraph" w:customStyle="1" w:styleId="202">
    <w:name w:val="inx_box55"/>
    <w:basedOn w:val="1"/>
    <w:uiPriority w:val="0"/>
    <w:pPr>
      <w:widowControl/>
      <w:spacing w:before="240"/>
      <w:jc w:val="left"/>
    </w:pPr>
    <w:rPr>
      <w:rFonts w:ascii="宋体" w:hAnsi="宋体" w:eastAsia="宋体" w:cs="宋体"/>
      <w:kern w:val="0"/>
      <w:sz w:val="24"/>
      <w:szCs w:val="24"/>
    </w:rPr>
  </w:style>
  <w:style w:type="paragraph" w:customStyle="1" w:styleId="203">
    <w:name w:val="inx_text24"/>
    <w:basedOn w:val="1"/>
    <w:qFormat/>
    <w:uiPriority w:val="0"/>
    <w:pPr>
      <w:widowControl/>
      <w:spacing w:line="300" w:lineRule="atLeast"/>
      <w:jc w:val="center"/>
    </w:pPr>
    <w:rPr>
      <w:rFonts w:ascii="宋体" w:hAnsi="宋体" w:eastAsia="宋体" w:cs="宋体"/>
      <w:color w:val="444444"/>
      <w:kern w:val="0"/>
      <w:sz w:val="20"/>
      <w:szCs w:val="20"/>
    </w:rPr>
  </w:style>
  <w:style w:type="paragraph" w:customStyle="1" w:styleId="204">
    <w:name w:val="inx_image11"/>
    <w:basedOn w:val="1"/>
    <w:qFormat/>
    <w:uiPriority w:val="0"/>
    <w:pPr>
      <w:widowControl/>
      <w:spacing w:before="240"/>
      <w:jc w:val="left"/>
    </w:pPr>
    <w:rPr>
      <w:rFonts w:ascii="宋体" w:hAnsi="宋体" w:eastAsia="宋体" w:cs="宋体"/>
      <w:color w:val="000000"/>
      <w:kern w:val="0"/>
      <w:sz w:val="24"/>
      <w:szCs w:val="24"/>
    </w:rPr>
  </w:style>
  <w:style w:type="paragraph" w:customStyle="1" w:styleId="205">
    <w:name w:val="menu"/>
    <w:basedOn w:val="1"/>
    <w:qFormat/>
    <w:uiPriority w:val="0"/>
    <w:pPr>
      <w:widowControl/>
      <w:jc w:val="left"/>
    </w:pPr>
    <w:rPr>
      <w:rFonts w:ascii="宋体" w:hAnsi="宋体" w:eastAsia="宋体" w:cs="宋体"/>
      <w:kern w:val="0"/>
      <w:sz w:val="24"/>
      <w:szCs w:val="24"/>
    </w:rPr>
  </w:style>
  <w:style w:type="paragraph" w:customStyle="1" w:styleId="206">
    <w:name w:val="citylist"/>
    <w:basedOn w:val="1"/>
    <w:qFormat/>
    <w:uiPriority w:val="0"/>
    <w:pPr>
      <w:widowControl/>
      <w:pBdr>
        <w:top w:val="single" w:color="008000" w:sz="6" w:space="0"/>
        <w:left w:val="single" w:color="008000" w:sz="6" w:space="0"/>
        <w:bottom w:val="single" w:color="008000" w:sz="6" w:space="0"/>
        <w:right w:val="single" w:color="008000" w:sz="6" w:space="0"/>
      </w:pBdr>
      <w:jc w:val="left"/>
    </w:pPr>
    <w:rPr>
      <w:rFonts w:ascii="宋体" w:hAnsi="宋体" w:eastAsia="宋体" w:cs="宋体"/>
      <w:kern w:val="0"/>
      <w:sz w:val="24"/>
      <w:szCs w:val="24"/>
    </w:rPr>
  </w:style>
  <w:style w:type="paragraph" w:customStyle="1" w:styleId="207">
    <w:name w:val="diqu-list"/>
    <w:basedOn w:val="1"/>
    <w:qFormat/>
    <w:uiPriority w:val="0"/>
    <w:pPr>
      <w:widowControl/>
      <w:jc w:val="left"/>
    </w:pPr>
    <w:rPr>
      <w:rFonts w:ascii="宋体" w:hAnsi="宋体" w:eastAsia="宋体" w:cs="宋体"/>
      <w:kern w:val="0"/>
      <w:sz w:val="24"/>
      <w:szCs w:val="24"/>
    </w:rPr>
  </w:style>
  <w:style w:type="paragraph" w:customStyle="1" w:styleId="208">
    <w:name w:val="hidden"/>
    <w:basedOn w:val="1"/>
    <w:qFormat/>
    <w:uiPriority w:val="0"/>
    <w:pPr>
      <w:widowControl/>
      <w:jc w:val="left"/>
    </w:pPr>
    <w:rPr>
      <w:rFonts w:ascii="宋体" w:hAnsi="宋体" w:eastAsia="宋体" w:cs="宋体"/>
      <w:vanish/>
      <w:kern w:val="0"/>
      <w:sz w:val="24"/>
      <w:szCs w:val="24"/>
    </w:rPr>
  </w:style>
  <w:style w:type="character" w:customStyle="1" w:styleId="209">
    <w:name w:val="editinput"/>
    <w:basedOn w:val="16"/>
    <w:qFormat/>
    <w:uiPriority w:val="0"/>
  </w:style>
  <w:style w:type="character" w:customStyle="1" w:styleId="210">
    <w:name w:val="edittexttarea"/>
    <w:basedOn w:val="16"/>
    <w:qFormat/>
    <w:uiPriority w:val="0"/>
  </w:style>
  <w:style w:type="character" w:customStyle="1" w:styleId="211">
    <w:name w:val="页眉 Char"/>
    <w:basedOn w:val="16"/>
    <w:link w:val="9"/>
    <w:qFormat/>
    <w:uiPriority w:val="99"/>
    <w:rPr>
      <w:sz w:val="18"/>
      <w:szCs w:val="18"/>
    </w:rPr>
  </w:style>
  <w:style w:type="character" w:customStyle="1" w:styleId="212">
    <w:name w:val="页脚 Char"/>
    <w:basedOn w:val="16"/>
    <w:link w:val="8"/>
    <w:qFormat/>
    <w:uiPriority w:val="99"/>
    <w:rPr>
      <w:sz w:val="18"/>
      <w:szCs w:val="18"/>
    </w:rPr>
  </w:style>
  <w:style w:type="character" w:customStyle="1" w:styleId="213">
    <w:name w:val="标题 2 Char"/>
    <w:basedOn w:val="16"/>
    <w:link w:val="3"/>
    <w:qFormat/>
    <w:uiPriority w:val="9"/>
    <w:rPr>
      <w:rFonts w:asciiTheme="majorHAnsi" w:hAnsiTheme="majorHAnsi" w:eastAsiaTheme="majorEastAsia" w:cstheme="majorBidi"/>
      <w:b/>
      <w:bCs/>
      <w:sz w:val="32"/>
      <w:szCs w:val="32"/>
    </w:rPr>
  </w:style>
  <w:style w:type="character" w:customStyle="1" w:styleId="214">
    <w:name w:val="标题 3 Char"/>
    <w:basedOn w:val="16"/>
    <w:link w:val="4"/>
    <w:qFormat/>
    <w:uiPriority w:val="9"/>
    <w:rPr>
      <w:b/>
      <w:bCs/>
      <w:sz w:val="32"/>
      <w:szCs w:val="32"/>
    </w:rPr>
  </w:style>
  <w:style w:type="paragraph" w:styleId="215">
    <w:name w:val="List Paragraph"/>
    <w:basedOn w:val="1"/>
    <w:qFormat/>
    <w:uiPriority w:val="34"/>
    <w:pPr>
      <w:ind w:firstLine="420" w:firstLineChars="200"/>
    </w:pPr>
  </w:style>
  <w:style w:type="paragraph" w:customStyle="1" w:styleId="216">
    <w:name w:val="TOC Heading"/>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F5496" w:themeColor="accent1" w:themeShade="BF"/>
      <w:kern w:val="0"/>
      <w:sz w:val="32"/>
      <w:szCs w:val="32"/>
    </w:rPr>
  </w:style>
  <w:style w:type="character" w:customStyle="1" w:styleId="217">
    <w:name w:val="批注框文本 Char"/>
    <w:basedOn w:val="16"/>
    <w:link w:val="7"/>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3D4F6B-47D9-4705-872D-89AA91032995}">
  <ds:schemaRefs/>
</ds:datastoreItem>
</file>

<file path=docProps/app.xml><?xml version="1.0" encoding="utf-8"?>
<Properties xmlns="http://schemas.openxmlformats.org/officeDocument/2006/extended-properties" xmlns:vt="http://schemas.openxmlformats.org/officeDocument/2006/docPropsVTypes">
  <Template>Normal</Template>
  <Pages>25</Pages>
  <Words>1988</Words>
  <Characters>11338</Characters>
  <Lines>94</Lines>
  <Paragraphs>26</Paragraphs>
  <TotalTime>1</TotalTime>
  <ScaleCrop>false</ScaleCrop>
  <LinksUpToDate>false</LinksUpToDate>
  <CharactersWithSpaces>13300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2019-11-27T02:17:00Z</dcterms:created>
  <dc:creator>Qingju Zh</dc:creator>
  <cp:lastModifiedBy>Administrator</cp:lastModifiedBy>
  <dcterms:modified xsi:type="dcterms:W3CDTF">2020-02-25T02:26:05Z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