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spacing w:before="0" w:beforeAutospacing="0" w:after="0" w:afterAutospacing="0" w:line="23" w:lineRule="atLeast"/>
        <w:ind w:left="-362" w:right="-362"/>
        <w:jc w:val="center"/>
        <w:rPr>
          <w:rStyle w:val="19"/>
          <w:rFonts w:hint="default" w:ascii="宋体" w:hAnsi="宋体" w:eastAsia="宋体" w:cs="宋体"/>
          <w:b/>
          <w:bCs/>
          <w:color w:val="393939"/>
          <w:sz w:val="32"/>
          <w:szCs w:val="24"/>
          <w:u w:val="single" w:color="auto"/>
          <w:shd w:val="clear" w:color="auto" w:fill="FFFFFF"/>
          <w:lang w:val="en-US" w:eastAsia="zh-CN"/>
        </w:rPr>
      </w:pPr>
      <w:r>
        <w:rPr>
          <w:rFonts w:ascii="宋体" w:hAnsi="宋体" w:eastAsia="宋体" w:cs="宋体"/>
          <w:bCs/>
          <w:kern w:val="0"/>
          <w:sz w:val="36"/>
          <w:szCs w:val="24"/>
        </w:rPr>
        <w:t>项目名称：</w:t>
      </w:r>
      <w:r>
        <w:rPr>
          <w:rFonts w:hint="eastAsia"/>
          <w:b/>
          <w:bCs/>
          <w:sz w:val="32"/>
          <w:szCs w:val="24"/>
          <w:u w:val="single" w:color="auto"/>
          <w:lang w:eastAsia="zh-CN"/>
        </w:rPr>
        <w:t>高桥镇“雪亮工程”卫生院路段视频监控工程</w:t>
      </w:r>
    </w:p>
    <w:p>
      <w:pPr>
        <w:pStyle w:val="15"/>
        <w:keepNext w:val="0"/>
        <w:keepLines w:val="0"/>
        <w:widowControl/>
        <w:suppressLineNumbers w:val="0"/>
        <w:spacing w:before="0" w:beforeAutospacing="1" w:after="0" w:afterAutospacing="1"/>
        <w:jc w:val="center"/>
      </w:pPr>
    </w:p>
    <w:p>
      <w:pPr>
        <w:pStyle w:val="15"/>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2020121500015</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3</w:t>
          </w:r>
          <w:r>
            <w:fldChar w:fldCharType="end"/>
          </w:r>
          <w:r>
            <w:rPr>
              <w:rFonts w:ascii="宋体" w:hAnsi="宋体" w:eastAsia="宋体"/>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rPr>
              <w:rFonts w:hint="eastAsia"/>
              <w:lang w:val="en-US" w:eastAsia="zh-CN"/>
            </w:rPr>
            <w:t>8</w:t>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16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18</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19</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20</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20</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21</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23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24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25</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3"/>
      </w:pPr>
      <w:bookmarkStart w:id="0" w:name="_Toc17903"/>
      <w:r>
        <w:t>第一章询价邀请/询价邀请书</w:t>
      </w:r>
      <w:bookmarkEnd w:id="0"/>
    </w:p>
    <w:p>
      <w:pPr>
        <w:pStyle w:val="15"/>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高桥镇“雪亮工程”卫生院路段视频监控工程</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hint="eastAsia" w:ascii="宋体" w:hAnsi="宋体" w:eastAsia="宋体"/>
          <w:sz w:val="24"/>
          <w:szCs w:val="24"/>
          <w:lang w:eastAsia="zh-CN"/>
        </w:rPr>
        <w:t>2020121500015</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包1：5.6万元。</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lang w:eastAsia="zh-CN"/>
        </w:rPr>
        <w:t>高桥镇“雪亮工程”卫生院路段视频监控工程</w:t>
      </w:r>
      <w:r>
        <w:rPr>
          <w:rFonts w:hint="eastAsia" w:ascii="宋体" w:hAnsi="宋体" w:eastAsia="宋体"/>
          <w:sz w:val="24"/>
          <w:szCs w:val="24"/>
          <w:u w:val="single"/>
          <w:lang w:val="en-US" w:eastAsia="zh-CN"/>
        </w:rPr>
        <w:t>项目</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lang w:eastAsia="zh-CN"/>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合同签订并验收合格后（收到乙方开具的等额增值税专用发票）15日内现金支付合同总价的95%，余下5%作为质量保证金，叁年质保期满后无质量问题背靠背现金无息支付。 </w:t>
            </w:r>
          </w:p>
        </w:tc>
      </w:tr>
    </w:tbl>
    <w:p>
      <w:pPr>
        <w:pStyle w:val="3"/>
      </w:pPr>
      <w:bookmarkStart w:id="2" w:name="_Toc25794"/>
      <w:r>
        <w:t>第</w:t>
      </w:r>
      <w:r>
        <w:rPr>
          <w:rFonts w:hint="eastAsia"/>
        </w:rPr>
        <w:t>三</w:t>
      </w:r>
      <w:r>
        <w:t>章询价内容及要求</w:t>
      </w:r>
      <w:bookmarkEnd w:id="2"/>
    </w:p>
    <w:p>
      <w:pPr>
        <w:pStyle w:val="4"/>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6"/>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eastAsia="宋体"/>
                      <w:lang w:eastAsia="zh-CN"/>
                    </w:rPr>
                    <w:t>高桥镇“雪亮工程”卫生院路段视频监控工程</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56000</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56000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4"/>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pStyle w:val="15"/>
        <w:keepNext w:val="0"/>
        <w:keepLines w:val="0"/>
        <w:widowControl/>
        <w:suppressLineNumbers w:val="0"/>
        <w:rPr>
          <w:rFonts w:hint="eastAsia"/>
          <w:lang w:val="en-US" w:eastAsia="zh-CN"/>
        </w:rPr>
      </w:pPr>
      <w:r>
        <w:rPr>
          <w:rFonts w:hint="eastAsia"/>
          <w:lang w:val="en-US" w:eastAsia="zh-CN"/>
        </w:rPr>
        <w:t>包1：</w:t>
      </w:r>
    </w:p>
    <w:tbl>
      <w:tblPr>
        <w:tblStyle w:val="16"/>
        <w:tblW w:w="13064" w:type="dxa"/>
        <w:jc w:val="center"/>
        <w:tblLayout w:type="fixed"/>
        <w:tblCellMar>
          <w:top w:w="0" w:type="dxa"/>
          <w:left w:w="108" w:type="dxa"/>
          <w:bottom w:w="0" w:type="dxa"/>
          <w:right w:w="108" w:type="dxa"/>
        </w:tblCellMar>
      </w:tblPr>
      <w:tblGrid>
        <w:gridCol w:w="726"/>
        <w:gridCol w:w="1437"/>
        <w:gridCol w:w="6977"/>
        <w:gridCol w:w="1484"/>
        <w:gridCol w:w="1469"/>
        <w:gridCol w:w="971"/>
      </w:tblGrid>
      <w:tr>
        <w:tblPrEx>
          <w:tblCellMar>
            <w:top w:w="0" w:type="dxa"/>
            <w:left w:w="108" w:type="dxa"/>
            <w:bottom w:w="0" w:type="dxa"/>
            <w:right w:w="108" w:type="dxa"/>
          </w:tblCellMar>
        </w:tblPrEx>
        <w:trPr>
          <w:trHeight w:val="487"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4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名称</w:t>
            </w:r>
          </w:p>
        </w:tc>
        <w:tc>
          <w:tcPr>
            <w:tcW w:w="6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详情</w:t>
            </w:r>
          </w:p>
        </w:tc>
        <w:tc>
          <w:tcPr>
            <w:tcW w:w="14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146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507"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抱杆横臂</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3000mm Φ80mm δ2.5mm</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4</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098"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2</w:t>
            </w:r>
          </w:p>
        </w:tc>
        <w:tc>
          <w:tcPr>
            <w:tcW w:w="14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400W人像识别像机</w:t>
            </w:r>
          </w:p>
        </w:tc>
        <w:tc>
          <w:tcPr>
            <w:tcW w:w="6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 具有400万像素 CMOS传感器,具有不小于1/1.8"靶面尺寸,像元尺寸不小于2.9um×2.9um,内置GPU芯片。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最低照度彩色不大于0.0002 lx，黑白不大于0.0001 lx，宽动态能力不小于120dB，设备水平中心分辨力不小于1500TVL，信噪比不小于58dB。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支持H.264、H.265、MJPEG视频编码格式，且具有High Profile编码能力。</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需支持四码流技术，主码流分辨率不小于2560x1440@25fps，子码流不小于704x576@25fps，第三码流不小于1920x1080@25fps，第四码流不小于704x576@25fps。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支持检出两眼瞳距40像素点以上的人脸图片。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支持单场景同时检出不少于30张人脸图片，并支持面部跟踪。</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人脸检出率不小于99%。</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支持侧脸过滤功能，可过滤上下、左右角度达到预设值的人脸。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支持人脸区域自动曝光功能，可根据外部不同场景和光照变化自动调节人脸区域曝光参数。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需支持IP67防尘防水。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 具有低温低气压适应性，可在不高于-45℃和气压70kPa环境下正常工作。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需同时支持DC12V和POE供电，且在不小于DC12V±30%范围内变化时可以正常工作。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 需支持本地SD卡存储，最大支持256G，并支持存储卡可使用时长显示。</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3</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网线</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国标超五类</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4</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前端交换机</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8口 千兆</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1207"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5</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光纤收发器</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SC 单模单芯 千兆 20KM 1光1电</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网络优化,上级汇聚点更换千兆收发器</w:t>
            </w:r>
          </w:p>
        </w:tc>
      </w:tr>
      <w:tr>
        <w:tblPrEx>
          <w:tblCellMar>
            <w:top w:w="0" w:type="dxa"/>
            <w:left w:w="108" w:type="dxa"/>
            <w:bottom w:w="0" w:type="dxa"/>
            <w:right w:w="108" w:type="dxa"/>
          </w:tblCellMar>
        </w:tblPrEx>
        <w:trPr>
          <w:trHeight w:val="270"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6</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硬盘</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4T</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块</w:t>
            </w:r>
          </w:p>
        </w:tc>
        <w:tc>
          <w:tcPr>
            <w:tcW w:w="9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7</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光缆</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室外 8芯</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1200</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7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电源线</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RVV3*1.5</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电源线</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RVV2*1.0</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0</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室外设备机柜</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300*400*500 白色烤漆 1.5mm 热镀锌钢板</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只</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810"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1</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辅材及配件</w:t>
            </w:r>
          </w:p>
        </w:tc>
        <w:tc>
          <w:tcPr>
            <w:tcW w:w="6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含管材、直接、弯头、电工胶布、排插、空开、像机支架、各式电源适配器、接线端子等。原室外部分小型监控箱需替换改大。</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批</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jc w:val="center"/>
        </w:trPr>
        <w:tc>
          <w:tcPr>
            <w:tcW w:w="7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2</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安装调试费</w:t>
            </w:r>
          </w:p>
        </w:tc>
        <w:tc>
          <w:tcPr>
            <w:tcW w:w="6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人工</w:t>
            </w:r>
          </w:p>
        </w:tc>
        <w:tc>
          <w:tcPr>
            <w:tcW w:w="148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9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pStyle w:val="15"/>
        <w:keepNext w:val="0"/>
        <w:keepLines w:val="0"/>
        <w:widowControl/>
        <w:suppressLineNumbers w:val="0"/>
        <w:rPr>
          <w:rFonts w:hint="eastAsia"/>
          <w:lang w:val="en-US" w:eastAsia="zh-CN"/>
        </w:rPr>
      </w:pPr>
    </w:p>
    <w:p>
      <w:pPr>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lang w:val="en-US" w:eastAsia="zh-CN"/>
        </w:rPr>
        <w:br w:type="page"/>
      </w:r>
    </w:p>
    <w:p>
      <w:pPr>
        <w:pStyle w:val="4"/>
        <w:numPr>
          <w:ilvl w:val="0"/>
          <w:numId w:val="0"/>
        </w:numPr>
        <w:rPr>
          <w:rFonts w:hint="eastAsia"/>
          <w:lang w:val="en-US" w:eastAsia="zh-CN"/>
        </w:rPr>
      </w:pPr>
      <w:r>
        <w:rPr>
          <w:rFonts w:hint="eastAsia"/>
          <w:lang w:val="en-US" w:eastAsia="zh-CN"/>
        </w:rPr>
        <w:t>三、商务条件（以下内容不允许负偏离，否则按无效标处理）</w:t>
      </w:r>
    </w:p>
    <w:p>
      <w:pPr>
        <w:pStyle w:val="15"/>
        <w:ind w:left="479" w:leftChars="228" w:firstLine="64" w:firstLineChars="27"/>
        <w:rPr>
          <w:rFonts w:hint="default"/>
          <w:lang w:val="en-US" w:eastAsia="zh-CN"/>
        </w:rPr>
      </w:pPr>
      <w:r>
        <w:rPr>
          <w:rFonts w:hint="eastAsia"/>
          <w:lang w:val="en-US" w:eastAsia="zh-CN"/>
        </w:rPr>
        <w:t>包：1</w:t>
      </w:r>
      <w:r>
        <w:rPr>
          <w:rFonts w:hint="eastAsia"/>
          <w:lang w:val="en-US" w:eastAsia="zh-CN"/>
        </w:rPr>
        <w:br w:type="textWrapping"/>
      </w:r>
      <w:r>
        <w:rPr>
          <w:rFonts w:hint="eastAsia"/>
          <w:lang w:val="en-US" w:eastAsia="zh-CN"/>
        </w:rPr>
        <w:t>1)、交付地点：沙县高桥镇</w:t>
      </w:r>
    </w:p>
    <w:p>
      <w:pPr>
        <w:pStyle w:val="15"/>
        <w:ind w:firstLine="480"/>
        <w:rPr>
          <w:rFonts w:hint="default"/>
          <w:lang w:val="en-US" w:eastAsia="zh-CN"/>
        </w:rPr>
      </w:pPr>
      <w:r>
        <w:rPr>
          <w:rFonts w:hint="eastAsia"/>
          <w:lang w:val="en-US" w:eastAsia="zh-CN"/>
        </w:rPr>
        <w:t>2)、交付时间：合同签订后 (30) 天内交货并安装完成</w:t>
      </w:r>
    </w:p>
    <w:p>
      <w:pPr>
        <w:pStyle w:val="15"/>
        <w:ind w:firstLine="480"/>
        <w:rPr>
          <w:rFonts w:hint="eastAsia"/>
          <w:lang w:val="en-US" w:eastAsia="zh-CN"/>
        </w:rPr>
      </w:pPr>
      <w:bookmarkStart w:id="5" w:name="_Toc471827457"/>
      <w:bookmarkStart w:id="6" w:name="_Toc325634904"/>
      <w:r>
        <w:rPr>
          <w:rFonts w:hint="eastAsia"/>
          <w:lang w:val="en-US" w:eastAsia="zh-CN"/>
        </w:rPr>
        <w:t>3）、货物及安装要求</w:t>
      </w:r>
      <w:bookmarkEnd w:id="5"/>
      <w:bookmarkEnd w:id="6"/>
    </w:p>
    <w:p>
      <w:pPr>
        <w:pStyle w:val="15"/>
        <w:ind w:firstLine="480"/>
        <w:rPr>
          <w:rFonts w:hint="eastAsia"/>
          <w:lang w:val="en-US" w:eastAsia="zh-CN"/>
        </w:rPr>
      </w:pPr>
      <w:bookmarkStart w:id="7" w:name="_Toc471827458"/>
      <w:bookmarkStart w:id="8" w:name="_Toc325634905"/>
      <w:r>
        <w:rPr>
          <w:rFonts w:hint="eastAsia"/>
          <w:lang w:val="en-US" w:eastAsia="zh-CN"/>
        </w:rPr>
        <w:t>由中标供应商负责派专业技术人员到现场进行供货、安装、调试，并负责调试至验收合格，由采购方进行基本质量和数量检验合格即为现场交货</w:t>
      </w:r>
    </w:p>
    <w:p>
      <w:pPr>
        <w:pStyle w:val="15"/>
        <w:ind w:firstLine="480"/>
        <w:rPr>
          <w:rFonts w:hint="eastAsia"/>
          <w:lang w:val="en-US" w:eastAsia="zh-CN"/>
        </w:rPr>
      </w:pPr>
      <w:r>
        <w:rPr>
          <w:rFonts w:hint="eastAsia"/>
          <w:lang w:val="en-US" w:eastAsia="zh-CN"/>
        </w:rPr>
        <w:t>4)、售后服务：质保期为三</w:t>
      </w:r>
      <w:bookmarkStart w:id="18" w:name="_GoBack"/>
      <w:bookmarkEnd w:id="18"/>
      <w:r>
        <w:rPr>
          <w:rFonts w:hint="eastAsia"/>
          <w:lang w:val="en-US" w:eastAsia="zh-CN"/>
        </w:rPr>
        <w:t>年，质保期需双方代表在验收单上签字之日起计算。</w:t>
      </w:r>
    </w:p>
    <w:bookmarkEnd w:id="7"/>
    <w:bookmarkEnd w:id="8"/>
    <w:p>
      <w:pPr>
        <w:pStyle w:val="15"/>
        <w:ind w:firstLine="480"/>
        <w:rPr>
          <w:rFonts w:hint="eastAsia"/>
          <w:lang w:val="en-US" w:eastAsia="zh-CN"/>
        </w:rPr>
      </w:pPr>
      <w:r>
        <w:rPr>
          <w:rFonts w:hint="eastAsia"/>
          <w:lang w:val="en-US" w:eastAsia="zh-CN"/>
        </w:rPr>
        <w:t xml:space="preserve">5）、是否收取履约保证金：否 </w:t>
      </w:r>
    </w:p>
    <w:p>
      <w:pPr>
        <w:pStyle w:val="15"/>
        <w:ind w:firstLine="480"/>
        <w:rPr>
          <w:rFonts w:hint="eastAsia"/>
          <w:lang w:val="en-US" w:eastAsia="zh-CN"/>
        </w:rPr>
      </w:pPr>
      <w:r>
        <w:rPr>
          <w:rFonts w:hint="eastAsia"/>
          <w:lang w:val="en-US" w:eastAsia="zh-CN"/>
        </w:rPr>
        <w:t xml:space="preserve">6）、验收方式数据表格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1</w:t>
            </w:r>
          </w:p>
        </w:tc>
        <w:tc>
          <w:tcPr>
            <w:tcW w:w="6658"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质量符合招标参数要求，全部货物交货并经验收合格</w:t>
            </w:r>
          </w:p>
        </w:tc>
      </w:tr>
    </w:tbl>
    <w:p>
      <w:pPr>
        <w:pStyle w:val="15"/>
        <w:ind w:firstLine="480"/>
        <w:rPr>
          <w:rFonts w:hint="eastAsia"/>
          <w:lang w:val="en-US" w:eastAsia="zh-CN"/>
        </w:rPr>
      </w:pPr>
      <w:r>
        <w:rPr>
          <w:rFonts w:hint="eastAsia"/>
          <w:lang w:val="en-US" w:eastAsia="zh-CN"/>
        </w:rPr>
        <w:t xml:space="preserve">7）、支付方式数据表格 </w:t>
      </w:r>
    </w:p>
    <w:tbl>
      <w:tblPr>
        <w:tblStyle w:val="16"/>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eastAsia"/>
                <w:lang w:val="en-US" w:eastAsia="zh-CN"/>
              </w:rPr>
            </w:pPr>
            <w:r>
              <w:rPr>
                <w:rFonts w:hint="eastAsia"/>
                <w:lang w:val="en-US" w:eastAsia="zh-CN"/>
              </w:rPr>
              <w:t>支付期次</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5"/>
              <w:jc w:val="center"/>
              <w:rPr>
                <w:rFonts w:hint="eastAsia"/>
                <w:lang w:val="en-US" w:eastAsia="zh-CN"/>
              </w:rPr>
            </w:pPr>
            <w:r>
              <w:rPr>
                <w:rFonts w:hint="eastAsia"/>
                <w:lang w:val="en-US" w:eastAsia="zh-CN"/>
              </w:rPr>
              <w:t>支付比例(%)</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eastAsia"/>
                <w:lang w:val="en-US" w:eastAsia="zh-CN"/>
              </w:rPr>
            </w:pPr>
            <w:r>
              <w:rPr>
                <w:rFonts w:hint="eastAsia"/>
                <w:lang w:val="en-US" w:eastAsia="zh-CN"/>
              </w:rPr>
              <w:t>1</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default"/>
                <w:lang w:val="en-US" w:eastAsia="zh-CN"/>
              </w:rPr>
            </w:pPr>
            <w:r>
              <w:rPr>
                <w:rFonts w:hint="eastAsia"/>
                <w:lang w:val="en-US" w:eastAsia="zh-CN"/>
              </w:rPr>
              <w:t>95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全部货物交货并经调试验收合格后，在15个工作日内向中标方一次性支付中标金额的95%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eastAsia"/>
                <w:lang w:val="en-US" w:eastAsia="zh-CN"/>
              </w:rPr>
            </w:pPr>
            <w:r>
              <w:rPr>
                <w:rFonts w:hint="eastAsia"/>
                <w:lang w:val="en-US" w:eastAsia="zh-CN"/>
              </w:rPr>
              <w:t>2</w:t>
            </w:r>
          </w:p>
        </w:tc>
        <w:tc>
          <w:tcPr>
            <w:tcW w:w="1664" w:type="dxa"/>
            <w:tcBorders>
              <w:top w:val="outset" w:color="auto" w:sz="6" w:space="0"/>
              <w:left w:val="outset" w:color="auto" w:sz="6" w:space="0"/>
              <w:bottom w:val="outset" w:color="auto" w:sz="6" w:space="0"/>
              <w:right w:val="outset" w:color="auto" w:sz="6" w:space="0"/>
            </w:tcBorders>
            <w:noWrap w:val="0"/>
            <w:vAlign w:val="center"/>
          </w:tcPr>
          <w:p>
            <w:pPr>
              <w:pStyle w:val="15"/>
              <w:ind w:firstLine="480"/>
              <w:jc w:val="center"/>
              <w:rPr>
                <w:rFonts w:hint="default"/>
                <w:lang w:val="en-US" w:eastAsia="zh-CN"/>
              </w:rPr>
            </w:pPr>
            <w:r>
              <w:rPr>
                <w:rFonts w:hint="eastAsia"/>
                <w:lang w:val="en-US" w:eastAsia="zh-CN"/>
              </w:rPr>
              <w:t>5</w:t>
            </w:r>
          </w:p>
        </w:tc>
        <w:tc>
          <w:tcPr>
            <w:tcW w:w="4993" w:type="dxa"/>
            <w:tcBorders>
              <w:top w:val="outset" w:color="auto" w:sz="6" w:space="0"/>
              <w:left w:val="outset" w:color="auto" w:sz="6" w:space="0"/>
              <w:bottom w:val="outset" w:color="auto" w:sz="6" w:space="0"/>
              <w:right w:val="outset" w:color="auto" w:sz="6" w:space="0"/>
            </w:tcBorders>
            <w:noWrap w:val="0"/>
            <w:vAlign w:val="top"/>
          </w:tcPr>
          <w:p>
            <w:pPr>
              <w:pStyle w:val="15"/>
              <w:ind w:firstLine="480"/>
              <w:rPr>
                <w:rFonts w:hint="eastAsia"/>
                <w:lang w:val="en-US" w:eastAsia="zh-CN"/>
              </w:rPr>
            </w:pPr>
            <w:r>
              <w:rPr>
                <w:rFonts w:hint="eastAsia"/>
                <w:lang w:val="en-US" w:eastAsia="zh-CN"/>
              </w:rPr>
              <w:t>剩余款5%在质保期满一年后无质保问题15个工作日内支付</w:t>
            </w:r>
          </w:p>
        </w:tc>
      </w:tr>
    </w:tbl>
    <w:p>
      <w:pPr>
        <w:pStyle w:val="15"/>
        <w:ind w:firstLine="480"/>
      </w:pPr>
      <w:bookmarkStart w:id="9" w:name="_Toc12868"/>
      <w:r>
        <w:br w:type="page"/>
      </w:r>
    </w:p>
    <w:p>
      <w:pPr>
        <w:pStyle w:val="3"/>
      </w:pPr>
      <w:r>
        <w:t>第</w:t>
      </w:r>
      <w:r>
        <w:rPr>
          <w:rFonts w:hint="eastAsia"/>
        </w:rPr>
        <w:t>四</w:t>
      </w:r>
      <w:r>
        <w:t>章</w:t>
      </w:r>
      <w:r>
        <w:rPr>
          <w:rFonts w:hint="eastAsia"/>
        </w:rPr>
        <w:t xml:space="preserve"> </w:t>
      </w:r>
      <w:r>
        <w:t>响应文件格式</w:t>
      </w:r>
      <w:bookmarkEnd w:id="9"/>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0" w:name="_Toc21368"/>
      <w:r>
        <w:rPr>
          <w:rFonts w:hint="eastAsia"/>
        </w:rPr>
        <w:t>1</w:t>
      </w:r>
      <w:r>
        <w:t>、报价一览表</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1" w:name="_Toc32753"/>
      <w:r>
        <w:rPr>
          <w:rFonts w:hint="eastAsia"/>
        </w:rPr>
        <w:t>2</w:t>
      </w:r>
      <w:r>
        <w:t>、分项报价表</w:t>
      </w:r>
      <w:bookmarkEnd w:id="11"/>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2" w:name="_Toc19447"/>
      <w:r>
        <w:rPr>
          <w:rFonts w:hint="eastAsia"/>
        </w:rPr>
        <w:t>3、资格证明文件</w:t>
      </w:r>
      <w:bookmarkEnd w:id="12"/>
    </w:p>
    <w:p>
      <w:pPr>
        <w:pStyle w:val="5"/>
      </w:pPr>
      <w:bookmarkStart w:id="13" w:name="_Toc11904"/>
      <w:r>
        <w:rPr>
          <w:rFonts w:hint="eastAsia"/>
        </w:rPr>
        <w:t>3</w:t>
      </w:r>
      <w:r>
        <w:t>-1单位负责人授权书（若有）</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5"/>
      </w:pPr>
      <w:bookmarkStart w:id="14" w:name="_Toc16968"/>
      <w:r>
        <w:rPr>
          <w:rFonts w:hint="eastAsia"/>
        </w:rPr>
        <w:t>3</w:t>
      </w:r>
      <w:r>
        <w:t>-2营业执照等证明文件</w:t>
      </w:r>
      <w:bookmarkEnd w:id="14"/>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jc w:val="center"/>
      </w:pPr>
      <w:r>
        <w:rPr>
          <w:rFonts w:ascii="宋体" w:hAnsi="宋体" w:eastAsia="宋体" w:cs="宋体"/>
          <w:kern w:val="0"/>
          <w:sz w:val="24"/>
          <w:szCs w:val="24"/>
        </w:rPr>
        <w:br w:type="page"/>
      </w:r>
      <w:r>
        <w:rPr>
          <w:rFonts w:hint="eastAsia" w:asciiTheme="minorHAnsi" w:hAnsiTheme="minorHAnsi" w:eastAsiaTheme="minorEastAsia" w:cstheme="minorBidi"/>
          <w:b/>
          <w:bCs/>
          <w:kern w:val="2"/>
          <w:sz w:val="32"/>
          <w:szCs w:val="32"/>
          <w:lang w:val="en-US" w:eastAsia="zh-CN" w:bidi="ar-SA"/>
        </w:rPr>
        <w:t>3-3依法缴纳社会保障资金证明材料</w:t>
      </w:r>
    </w:p>
    <w:p>
      <w:pPr>
        <w:pStyle w:val="15"/>
        <w:keepNext w:val="0"/>
        <w:keepLines w:val="0"/>
        <w:widowControl/>
        <w:suppressLineNumbers w:val="0"/>
      </w:pPr>
      <w:r>
        <w:rPr>
          <w:rFonts w:hint="eastAsia" w:ascii="宋体" w:hAnsi="宋体" w:eastAsia="宋体" w:cs="宋体"/>
          <w:sz w:val="21"/>
          <w:szCs w:val="21"/>
        </w:rPr>
        <w:t> </w:t>
      </w:r>
    </w:p>
    <w:p>
      <w:pPr>
        <w:pStyle w:val="15"/>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15"/>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15"/>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15"/>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5"/>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15"/>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★注意：</w:t>
      </w:r>
    </w:p>
    <w:p>
      <w:pPr>
        <w:pStyle w:val="15"/>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15"/>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15"/>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15"/>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15"/>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15"/>
        <w:keepNext w:val="0"/>
        <w:keepLines w:val="0"/>
        <w:widowControl/>
        <w:suppressLineNumbers w:val="0"/>
      </w:pPr>
      <w:r>
        <w:rPr>
          <w:rFonts w:hint="eastAsia" w:ascii="宋体" w:hAnsi="宋体" w:eastAsia="宋体" w:cs="宋体"/>
          <w:sz w:val="21"/>
          <w:szCs w:val="21"/>
        </w:rPr>
        <w:t>3、</w:t>
      </w:r>
      <w:r>
        <w:rPr>
          <w:rStyle w:val="19"/>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19"/>
          <w:rFonts w:hint="eastAsia" w:ascii="宋体" w:hAnsi="宋体" w:eastAsia="宋体" w:cs="宋体"/>
          <w:sz w:val="21"/>
          <w:szCs w:val="21"/>
        </w:rPr>
        <w:t>未依法缴纳社会保障资金。</w:t>
      </w:r>
    </w:p>
    <w:p>
      <w:pPr>
        <w:pStyle w:val="15"/>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default" w:ascii="Calibri" w:hAnsi="Calibri" w:cs="Calibri"/>
          <w:sz w:val="21"/>
          <w:szCs w:val="21"/>
        </w:rPr>
        <w:t> </w:t>
      </w:r>
    </w:p>
    <w:p>
      <w:pPr>
        <w:pStyle w:val="15"/>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5"/>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15"/>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rPr>
          <w:rFonts w:ascii="宋体" w:hAnsi="宋体" w:eastAsia="宋体" w:cs="宋体"/>
          <w:kern w:val="0"/>
          <w:sz w:val="24"/>
          <w:szCs w:val="24"/>
        </w:rPr>
      </w:pPr>
      <w:r>
        <w:rPr>
          <w:rFonts w:ascii="宋体" w:hAnsi="宋体" w:eastAsia="宋体" w:cs="宋体"/>
          <w:kern w:val="0"/>
          <w:sz w:val="24"/>
          <w:szCs w:val="24"/>
        </w:rPr>
        <w:br w:type="page"/>
      </w:r>
    </w:p>
    <w:p>
      <w:pPr>
        <w:widowControl/>
        <w:jc w:val="left"/>
        <w:rPr>
          <w:rFonts w:ascii="宋体" w:hAnsi="宋体" w:eastAsia="宋体" w:cs="宋体"/>
          <w:kern w:val="0"/>
          <w:sz w:val="24"/>
          <w:szCs w:val="24"/>
        </w:rPr>
      </w:pPr>
    </w:p>
    <w:p>
      <w:pPr>
        <w:pStyle w:val="4"/>
      </w:pPr>
      <w:bookmarkStart w:id="15" w:name="_Toc26424"/>
      <w:r>
        <w:rPr>
          <w:rFonts w:hint="eastAsia"/>
        </w:rPr>
        <w:t>4</w:t>
      </w:r>
      <w:r>
        <w:t>、技术要求响应表</w:t>
      </w:r>
      <w:bookmarkEnd w:id="15"/>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4"/>
      </w:pPr>
      <w:bookmarkStart w:id="16" w:name="_Toc24633"/>
      <w:r>
        <w:rPr>
          <w:rFonts w:hint="eastAsia"/>
        </w:rPr>
        <w:t>5</w:t>
      </w:r>
      <w:r>
        <w:t>、商务条件响应表</w:t>
      </w:r>
      <w:bookmarkEnd w:id="1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4"/>
      </w:pPr>
      <w:bookmarkStart w:id="17" w:name="_Toc25524"/>
      <w:r>
        <w:rPr>
          <w:rFonts w:hint="eastAsia"/>
        </w:rPr>
        <w:t>6</w:t>
      </w:r>
      <w:r>
        <w:t>、</w:t>
      </w:r>
      <w:r>
        <w:rPr>
          <w:rFonts w:hint="eastAsia"/>
        </w:rPr>
        <w:t>售后服务承诺函</w:t>
      </w:r>
      <w:bookmarkEnd w:id="17"/>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55B3DF5"/>
    <w:rsid w:val="0A023D0A"/>
    <w:rsid w:val="0CBA46CE"/>
    <w:rsid w:val="0DDE514A"/>
    <w:rsid w:val="0E1D2F35"/>
    <w:rsid w:val="12B62D6C"/>
    <w:rsid w:val="13E94009"/>
    <w:rsid w:val="14F55B24"/>
    <w:rsid w:val="15747306"/>
    <w:rsid w:val="177579D4"/>
    <w:rsid w:val="195B7226"/>
    <w:rsid w:val="1C9661C2"/>
    <w:rsid w:val="2003214F"/>
    <w:rsid w:val="20903B57"/>
    <w:rsid w:val="224123EA"/>
    <w:rsid w:val="240132F4"/>
    <w:rsid w:val="27EF30AF"/>
    <w:rsid w:val="281F6275"/>
    <w:rsid w:val="2A776C51"/>
    <w:rsid w:val="2A8F3ACE"/>
    <w:rsid w:val="2AA62A27"/>
    <w:rsid w:val="2C640104"/>
    <w:rsid w:val="2F166109"/>
    <w:rsid w:val="30D22F66"/>
    <w:rsid w:val="32692307"/>
    <w:rsid w:val="353A00A7"/>
    <w:rsid w:val="36045A42"/>
    <w:rsid w:val="38435B0E"/>
    <w:rsid w:val="38641FE2"/>
    <w:rsid w:val="394D7956"/>
    <w:rsid w:val="399A33E9"/>
    <w:rsid w:val="3ADB7028"/>
    <w:rsid w:val="408E7458"/>
    <w:rsid w:val="41585E34"/>
    <w:rsid w:val="43223A4C"/>
    <w:rsid w:val="456E3B2A"/>
    <w:rsid w:val="48402E9E"/>
    <w:rsid w:val="49153BC2"/>
    <w:rsid w:val="4A210D79"/>
    <w:rsid w:val="4E705210"/>
    <w:rsid w:val="4F4E4535"/>
    <w:rsid w:val="4F8945F8"/>
    <w:rsid w:val="528C770B"/>
    <w:rsid w:val="53637492"/>
    <w:rsid w:val="54CE2685"/>
    <w:rsid w:val="5538484B"/>
    <w:rsid w:val="56A73B4F"/>
    <w:rsid w:val="57B3603C"/>
    <w:rsid w:val="5D3F0E19"/>
    <w:rsid w:val="62E65DE6"/>
    <w:rsid w:val="654827AB"/>
    <w:rsid w:val="65C544DA"/>
    <w:rsid w:val="660F705E"/>
    <w:rsid w:val="6740609C"/>
    <w:rsid w:val="67B1191C"/>
    <w:rsid w:val="68094B24"/>
    <w:rsid w:val="69A60258"/>
    <w:rsid w:val="6B3A69DE"/>
    <w:rsid w:val="6C692F56"/>
    <w:rsid w:val="6FC32B6E"/>
    <w:rsid w:val="70820A2A"/>
    <w:rsid w:val="70A131A5"/>
    <w:rsid w:val="72796D7C"/>
    <w:rsid w:val="7B1277D0"/>
    <w:rsid w:val="7B603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1"/>
      <w:sz w:val="24"/>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ascii="宋体" w:hAnsi="Courier New"/>
      <w:sz w:val="21"/>
      <w:szCs w:val="20"/>
    </w:rPr>
  </w:style>
  <w:style w:type="paragraph" w:styleId="9">
    <w:name w:val="Balloon Text"/>
    <w:basedOn w:val="1"/>
    <w:link w:val="219"/>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Char"/>
    <w:basedOn w:val="18"/>
    <w:link w:val="3"/>
    <w:qFormat/>
    <w:uiPriority w:val="9"/>
    <w:rPr>
      <w:rFonts w:ascii="宋体" w:hAnsi="宋体" w:eastAsia="宋体" w:cs="宋体"/>
      <w:b/>
      <w:bCs/>
      <w:kern w:val="36"/>
      <w:sz w:val="48"/>
      <w:szCs w:val="48"/>
    </w:rPr>
  </w:style>
  <w:style w:type="character" w:customStyle="1" w:styleId="27">
    <w:name w:val="标题 4 Char"/>
    <w:basedOn w:val="18"/>
    <w:link w:val="6"/>
    <w:qFormat/>
    <w:uiPriority w:val="9"/>
    <w:rPr>
      <w:rFonts w:ascii="宋体" w:hAnsi="宋体" w:eastAsia="宋体" w:cs="宋体"/>
      <w:b/>
      <w:bCs/>
      <w:kern w:val="0"/>
      <w:sz w:val="24"/>
      <w:szCs w:val="24"/>
    </w:rPr>
  </w:style>
  <w:style w:type="character" w:customStyle="1" w:styleId="28">
    <w:name w:val="HTML 预设格式 Char"/>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Char"/>
    <w:basedOn w:val="18"/>
    <w:link w:val="11"/>
    <w:qFormat/>
    <w:uiPriority w:val="99"/>
    <w:rPr>
      <w:sz w:val="18"/>
      <w:szCs w:val="18"/>
    </w:rPr>
  </w:style>
  <w:style w:type="character" w:customStyle="1" w:styleId="214">
    <w:name w:val="页脚 Char"/>
    <w:basedOn w:val="18"/>
    <w:link w:val="10"/>
    <w:qFormat/>
    <w:uiPriority w:val="99"/>
    <w:rPr>
      <w:sz w:val="18"/>
      <w:szCs w:val="18"/>
    </w:rPr>
  </w:style>
  <w:style w:type="character" w:customStyle="1" w:styleId="215">
    <w:name w:val="标题 2 Char"/>
    <w:basedOn w:val="18"/>
    <w:link w:val="4"/>
    <w:qFormat/>
    <w:uiPriority w:val="9"/>
    <w:rPr>
      <w:rFonts w:asciiTheme="majorHAnsi" w:hAnsiTheme="majorHAnsi" w:eastAsiaTheme="majorEastAsia" w:cstheme="majorBidi"/>
      <w:b/>
      <w:bCs/>
      <w:sz w:val="32"/>
      <w:szCs w:val="32"/>
    </w:rPr>
  </w:style>
  <w:style w:type="character" w:customStyle="1" w:styleId="216">
    <w:name w:val="标题 3 Char"/>
    <w:basedOn w:val="18"/>
    <w:link w:val="5"/>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批注框文本 Char"/>
    <w:basedOn w:val="18"/>
    <w:link w:val="9"/>
    <w:semiHidden/>
    <w:qFormat/>
    <w:uiPriority w:val="99"/>
    <w:rPr>
      <w:sz w:val="18"/>
      <w:szCs w:val="18"/>
    </w:rPr>
  </w:style>
  <w:style w:type="character" w:customStyle="1" w:styleId="220">
    <w:name w:val="font11"/>
    <w:basedOn w:val="18"/>
    <w:qFormat/>
    <w:uiPriority w:val="0"/>
    <w:rPr>
      <w:rFonts w:hint="eastAsia" w:ascii="宋体" w:hAnsi="宋体" w:eastAsia="宋体" w:cs="宋体"/>
      <w:color w:val="000000"/>
      <w:sz w:val="18"/>
      <w:szCs w:val="18"/>
      <w:u w:val="none"/>
    </w:rPr>
  </w:style>
  <w:style w:type="character" w:customStyle="1" w:styleId="221">
    <w:name w:val="font31"/>
    <w:basedOn w:val="18"/>
    <w:qFormat/>
    <w:uiPriority w:val="0"/>
    <w:rPr>
      <w:rFonts w:hint="default" w:ascii="Symbol" w:hAnsi="Symbol" w:cs="Symbol"/>
      <w:color w:val="000000"/>
      <w:sz w:val="18"/>
      <w:szCs w:val="18"/>
      <w:u w:val="none"/>
    </w:rPr>
  </w:style>
  <w:style w:type="character" w:customStyle="1" w:styleId="222">
    <w:name w:val="font21"/>
    <w:qFormat/>
    <w:uiPriority w:val="0"/>
    <w:rPr>
      <w:rFonts w:hint="eastAsia" w:ascii="宋体" w:hAnsi="宋体" w:eastAsia="宋体" w:cs="宋体"/>
      <w:color w:val="000000"/>
      <w:sz w:val="20"/>
      <w:szCs w:val="20"/>
      <w:u w:val="none"/>
    </w:rPr>
  </w:style>
  <w:style w:type="paragraph" w:customStyle="1" w:styleId="2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6</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cp:lastPrinted>2021-01-27T01:33:00Z</cp:lastPrinted>
  <dcterms:modified xsi:type="dcterms:W3CDTF">2021-01-31T03:00:26Z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