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pStyle w:val="15"/>
        <w:keepNext w:val="0"/>
        <w:keepLines w:val="0"/>
        <w:widowControl/>
        <w:suppressLineNumbers w:val="0"/>
        <w:spacing w:before="0" w:beforeAutospacing="0" w:after="0" w:afterAutospacing="0" w:line="23" w:lineRule="atLeast"/>
        <w:ind w:left="-362" w:right="-362"/>
        <w:jc w:val="center"/>
        <w:rPr>
          <w:rStyle w:val="19"/>
          <w:rFonts w:hint="eastAsia" w:ascii="宋体" w:hAnsi="宋体" w:eastAsia="宋体" w:cs="宋体"/>
          <w:b/>
          <w:bCs/>
          <w:color w:val="393939"/>
          <w:sz w:val="32"/>
          <w:szCs w:val="24"/>
          <w:u w:val="single" w:color="auto"/>
          <w:shd w:val="clear" w:color="auto" w:fill="FFFFFF"/>
          <w:lang w:eastAsia="zh-CN"/>
        </w:rPr>
      </w:pPr>
      <w:r>
        <w:rPr>
          <w:rFonts w:ascii="宋体" w:hAnsi="宋体" w:eastAsia="宋体" w:cs="宋体"/>
          <w:bCs/>
          <w:kern w:val="0"/>
          <w:sz w:val="36"/>
          <w:szCs w:val="24"/>
        </w:rPr>
        <w:t>项目名称：</w:t>
      </w:r>
      <w:r>
        <w:rPr>
          <w:rFonts w:hint="eastAsia"/>
          <w:b/>
          <w:bCs/>
          <w:sz w:val="32"/>
          <w:szCs w:val="24"/>
          <w:u w:val="single" w:color="auto"/>
          <w:lang w:eastAsia="zh-CN"/>
        </w:rPr>
        <w:t>沙县南霞乡龙松村、东周村平安库区视频监控工程</w:t>
      </w:r>
    </w:p>
    <w:p>
      <w:pPr>
        <w:pStyle w:val="15"/>
        <w:keepNext w:val="0"/>
        <w:keepLines w:val="0"/>
        <w:widowControl/>
        <w:suppressLineNumbers w:val="0"/>
        <w:spacing w:before="0" w:beforeAutospacing="1" w:after="0" w:afterAutospacing="1"/>
        <w:jc w:val="center"/>
      </w:pPr>
    </w:p>
    <w:p>
      <w:pPr>
        <w:pStyle w:val="15"/>
        <w:keepNext w:val="0"/>
        <w:keepLines w:val="0"/>
        <w:widowControl/>
        <w:suppressLineNumbers w:val="0"/>
        <w:shd w:val="clear" w:fill="FFFFFF"/>
        <w:spacing w:before="60" w:beforeAutospacing="0" w:after="60" w:afterAutospacing="0"/>
        <w:ind w:right="0"/>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kern w:val="0"/>
          <w:sz w:val="36"/>
          <w:szCs w:val="24"/>
        </w:rPr>
      </w:pPr>
    </w:p>
    <w:p>
      <w:pPr>
        <w:spacing w:line="520" w:lineRule="exact"/>
        <w:ind w:firstLine="1800" w:firstLineChars="500"/>
        <w:rPr>
          <w:rFonts w:ascii="宋体" w:hAnsi="宋体" w:eastAsia="宋体" w:cs="宋体"/>
          <w:bCs/>
          <w:kern w:val="0"/>
          <w:sz w:val="36"/>
          <w:szCs w:val="24"/>
        </w:rPr>
      </w:pPr>
    </w:p>
    <w:p>
      <w:pPr>
        <w:spacing w:line="520" w:lineRule="exact"/>
        <w:ind w:firstLine="1800" w:firstLineChars="500"/>
        <w:rPr>
          <w:rFonts w:hint="eastAsia" w:ascii="宋体" w:hAnsi="宋体" w:eastAsia="宋体" w:cs="宋体"/>
          <w:bCs/>
          <w:kern w:val="0"/>
          <w:sz w:val="36"/>
          <w:szCs w:val="24"/>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rPr>
        <w:t xml:space="preserve"> 20200</w:t>
      </w:r>
      <w:r>
        <w:rPr>
          <w:rFonts w:hint="eastAsia" w:ascii="宋体" w:hAnsi="宋体" w:eastAsia="宋体" w:cs="宋体"/>
          <w:bCs/>
          <w:kern w:val="0"/>
          <w:sz w:val="36"/>
          <w:szCs w:val="24"/>
          <w:lang w:val="en-US" w:eastAsia="zh-CN"/>
        </w:rPr>
        <w:t>428</w:t>
      </w:r>
      <w:r>
        <w:rPr>
          <w:rFonts w:hint="eastAsia" w:ascii="宋体" w:hAnsi="宋体" w:eastAsia="宋体" w:cs="宋体"/>
          <w:bCs/>
          <w:kern w:val="0"/>
          <w:sz w:val="36"/>
          <w:szCs w:val="24"/>
        </w:rPr>
        <w:t>000</w:t>
      </w:r>
      <w:r>
        <w:rPr>
          <w:rFonts w:hint="eastAsia" w:ascii="宋体" w:hAnsi="宋体" w:eastAsia="宋体" w:cs="宋体"/>
          <w:bCs/>
          <w:kern w:val="0"/>
          <w:sz w:val="36"/>
          <w:szCs w:val="24"/>
          <w:lang w:val="en-US" w:eastAsia="zh-CN"/>
        </w:rPr>
        <w:t>33</w:t>
      </w:r>
      <w:r>
        <w:rPr>
          <w:rFonts w:hint="eastAsia" w:ascii="宋体" w:hAnsi="宋体" w:eastAsia="宋体" w:cs="宋体"/>
          <w:bCs/>
          <w:kern w:val="0"/>
          <w:sz w:val="36"/>
          <w:szCs w:val="24"/>
        </w:rPr>
        <w:t xml:space="preserve"> </w:t>
      </w:r>
    </w:p>
    <w:p>
      <w:pPr>
        <w:spacing w:line="520" w:lineRule="exact"/>
        <w:ind w:firstLine="640" w:firstLineChars="200"/>
        <w:jc w:val="center"/>
        <w:rPr>
          <w:rFonts w:hint="eastAsia" w:ascii="仿宋_GB2312" w:eastAsia="仿宋_GB2312"/>
          <w:sz w:val="32"/>
          <w:szCs w:val="32"/>
          <w:lang w:val="en-US" w:eastAsia="zh-CN"/>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福建广电网络集团股份有限公司沙县分公司</w:t>
      </w:r>
    </w:p>
    <w:p>
      <w:pPr>
        <w:widowControl/>
        <w:shd w:val="clear" w:color="auto" w:fill="FFFFFF"/>
        <w:spacing w:line="360" w:lineRule="auto"/>
        <w:jc w:val="center"/>
        <w:rPr>
          <w:rFonts w:ascii="宋体" w:hAnsi="宋体" w:eastAsia="宋体" w:cs="宋体"/>
          <w:bCs/>
          <w:kern w:val="0"/>
          <w:sz w:val="36"/>
          <w:szCs w:val="24"/>
        </w:rPr>
      </w:pPr>
      <w:r>
        <w:rPr>
          <w:rFonts w:ascii="宋体" w:hAnsi="宋体" w:eastAsia="宋体" w:cs="宋体"/>
          <w:bCs/>
          <w:kern w:val="0"/>
          <w:sz w:val="36"/>
          <w:szCs w:val="24"/>
        </w:rPr>
        <w:t>20</w:t>
      </w:r>
      <w:r>
        <w:rPr>
          <w:rFonts w:hint="eastAsia" w:ascii="宋体" w:hAnsi="宋体" w:eastAsia="宋体" w:cs="宋体"/>
          <w:bCs/>
          <w:kern w:val="0"/>
          <w:sz w:val="36"/>
          <w:szCs w:val="24"/>
          <w:lang w:val="en-US" w:eastAsia="zh-CN"/>
        </w:rPr>
        <w:t>20</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04</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hint="eastAsia" w:ascii="宋体" w:hAnsi="宋体" w:eastAsia="宋体" w:cs="宋体"/>
          <w:bCs/>
          <w:sz w:val="36"/>
          <w:szCs w:val="24"/>
          <w:lang w:val="en-US" w:eastAsia="zh-CN"/>
        </w:rPr>
      </w:pPr>
      <w:r>
        <w:rPr>
          <w:rFonts w:hint="eastAsia" w:ascii="宋体" w:hAnsi="宋体" w:eastAsia="宋体" w:cs="宋体"/>
          <w:bCs/>
          <w:sz w:val="36"/>
          <w:szCs w:val="24"/>
          <w:lang w:val="en-US" w:eastAsia="zh-CN"/>
        </w:rPr>
        <w:t xml:space="preserve"> </w:t>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2"/>
            <w:tabs>
              <w:tab w:val="right" w:leader="dot" w:pos="830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rPr>
              <w:rFonts w:ascii="宋体" w:hAnsi="宋体" w:eastAsia="宋体"/>
            </w:rPr>
            <w:fldChar w:fldCharType="begin"/>
          </w:r>
          <w:r>
            <w:rPr>
              <w:rFonts w:ascii="宋体" w:hAnsi="宋体" w:eastAsia="宋体"/>
            </w:rPr>
            <w:instrText xml:space="preserve"> HYPERLINK \l _Toc17903 </w:instrText>
          </w:r>
          <w:r>
            <w:rPr>
              <w:rFonts w:ascii="宋体" w:hAnsi="宋体" w:eastAsia="宋体"/>
            </w:rPr>
            <w:fldChar w:fldCharType="separate"/>
          </w:r>
          <w:r>
            <w:t>第一章询价邀请/询价邀请书</w:t>
          </w:r>
          <w:r>
            <w:tab/>
          </w:r>
          <w:r>
            <w:fldChar w:fldCharType="begin"/>
          </w:r>
          <w:r>
            <w:instrText xml:space="preserve"> PAGEREF _Toc17903 </w:instrText>
          </w:r>
          <w:r>
            <w:fldChar w:fldCharType="separate"/>
          </w:r>
          <w:r>
            <w:t>1</w:t>
          </w:r>
          <w:r>
            <w:fldChar w:fldCharType="end"/>
          </w:r>
          <w:r>
            <w:rPr>
              <w:rFonts w:ascii="宋体" w:hAnsi="宋体" w:eastAsia="宋体"/>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_Toc18736 </w:instrText>
          </w:r>
          <w:r>
            <w:rPr>
              <w:rFonts w:ascii="宋体" w:hAnsi="宋体" w:eastAsia="宋体"/>
              <w:bCs/>
              <w:lang w:val="zh-CN"/>
            </w:rPr>
            <w:fldChar w:fldCharType="separate"/>
          </w:r>
          <w:r>
            <w:t>第二章询价须知</w:t>
          </w:r>
          <w:r>
            <w:tab/>
          </w:r>
          <w:r>
            <w:fldChar w:fldCharType="begin"/>
          </w:r>
          <w:r>
            <w:instrText xml:space="preserve"> PAGEREF _Toc18736 </w:instrText>
          </w:r>
          <w:r>
            <w:fldChar w:fldCharType="separate"/>
          </w:r>
          <w:r>
            <w:t>2</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_Toc25794 </w:instrText>
          </w:r>
          <w:r>
            <w:rPr>
              <w:rFonts w:ascii="宋体" w:hAnsi="宋体" w:eastAsia="宋体"/>
              <w:bCs/>
              <w:lang w:val="zh-CN"/>
            </w:rPr>
            <w:fldChar w:fldCharType="separate"/>
          </w:r>
          <w:r>
            <w:t>第</w:t>
          </w:r>
          <w:r>
            <w:rPr>
              <w:rFonts w:hint="eastAsia"/>
            </w:rPr>
            <w:t>三</w:t>
          </w:r>
          <w:r>
            <w:t>章询价内容及要求</w:t>
          </w:r>
          <w:r>
            <w:tab/>
          </w:r>
          <w:r>
            <w:fldChar w:fldCharType="begin"/>
          </w:r>
          <w:r>
            <w:instrText xml:space="preserve"> PAGEREF _Toc25794 </w:instrText>
          </w:r>
          <w:r>
            <w:fldChar w:fldCharType="separate"/>
          </w:r>
          <w:r>
            <w:t>3</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_Toc17208 </w:instrText>
          </w:r>
          <w:r>
            <w:rPr>
              <w:rFonts w:ascii="宋体" w:hAnsi="宋体" w:eastAsia="宋体"/>
              <w:bCs/>
              <w:lang w:val="zh-CN"/>
            </w:rPr>
            <w:fldChar w:fldCharType="separate"/>
          </w:r>
          <w:r>
            <w:t>一、采购标的</w:t>
          </w:r>
          <w:r>
            <w:rPr>
              <w:rFonts w:hint="eastAsia"/>
            </w:rPr>
            <w:t>一览表</w:t>
          </w:r>
          <w:r>
            <w:tab/>
          </w:r>
          <w:r>
            <w:fldChar w:fldCharType="begin"/>
          </w:r>
          <w:r>
            <w:instrText xml:space="preserve"> PAGEREF _Toc17208 </w:instrText>
          </w:r>
          <w:r>
            <w:fldChar w:fldCharType="separate"/>
          </w:r>
          <w:r>
            <w:t>3</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_Toc28866 </w:instrText>
          </w:r>
          <w:r>
            <w:rPr>
              <w:rFonts w:ascii="宋体" w:hAnsi="宋体" w:eastAsia="宋体"/>
              <w:bCs/>
              <w:lang w:val="zh-CN"/>
            </w:rPr>
            <w:fldChar w:fldCharType="separate"/>
          </w:r>
          <w:r>
            <w:rPr>
              <w:rFonts w:hint="eastAsia" w:ascii="宋体" w:hAnsi="宋体" w:eastAsia="宋体" w:cs="宋体"/>
              <w:szCs w:val="24"/>
            </w:rPr>
            <w:t xml:space="preserve">二、 </w:t>
          </w:r>
          <w:r>
            <w:t>技术要求（以下内容不允许负偏离）</w:t>
          </w:r>
          <w:r>
            <w:tab/>
          </w:r>
          <w:r>
            <w:fldChar w:fldCharType="begin"/>
          </w:r>
          <w:r>
            <w:instrText xml:space="preserve"> PAGEREF _Toc28866 </w:instrText>
          </w:r>
          <w:r>
            <w:fldChar w:fldCharType="separate"/>
          </w:r>
          <w:r>
            <w:t>4</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_Toc14354 </w:instrText>
          </w:r>
          <w:r>
            <w:rPr>
              <w:rFonts w:ascii="宋体" w:hAnsi="宋体" w:eastAsia="宋体"/>
              <w:bCs/>
              <w:lang w:val="zh-CN"/>
            </w:rPr>
            <w:fldChar w:fldCharType="separate"/>
          </w:r>
          <w:r>
            <w:t>三、商务条件（以下内容不允许负偏离）</w:t>
          </w:r>
          <w:r>
            <w:tab/>
          </w:r>
          <w:r>
            <w:fldChar w:fldCharType="begin"/>
          </w:r>
          <w:r>
            <w:instrText xml:space="preserve"> PAGEREF _Toc14354 </w:instrText>
          </w:r>
          <w:r>
            <w:fldChar w:fldCharType="separate"/>
          </w:r>
          <w:r>
            <w:t>37</w:t>
          </w:r>
          <w:r>
            <w:fldChar w:fldCharType="end"/>
          </w:r>
          <w:r>
            <w:rPr>
              <w:rFonts w:ascii="宋体" w:hAnsi="宋体" w:eastAsia="宋体"/>
              <w:bCs/>
              <w:lang w:val="zh-CN"/>
            </w:rPr>
            <w:fldChar w:fldCharType="end"/>
          </w:r>
        </w:p>
        <w:p>
          <w:pPr>
            <w:pStyle w:val="12"/>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_Toc12868 </w:instrText>
          </w:r>
          <w:r>
            <w:rPr>
              <w:rFonts w:ascii="宋体" w:hAnsi="宋体" w:eastAsia="宋体"/>
              <w:bCs/>
              <w:lang w:val="zh-CN"/>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_Toc12868 </w:instrText>
          </w:r>
          <w:r>
            <w:fldChar w:fldCharType="separate"/>
          </w:r>
          <w:r>
            <w:t>40</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_Toc21368 </w:instrText>
          </w:r>
          <w:r>
            <w:rPr>
              <w:rFonts w:ascii="宋体" w:hAnsi="宋体" w:eastAsia="宋体"/>
              <w:bCs/>
              <w:lang w:val="zh-CN"/>
            </w:rPr>
            <w:fldChar w:fldCharType="separate"/>
          </w:r>
          <w:r>
            <w:rPr>
              <w:rFonts w:hint="eastAsia"/>
            </w:rPr>
            <w:t>1</w:t>
          </w:r>
          <w:r>
            <w:t>、报价一览表</w:t>
          </w:r>
          <w:r>
            <w:tab/>
          </w:r>
          <w:r>
            <w:fldChar w:fldCharType="begin"/>
          </w:r>
          <w:r>
            <w:instrText xml:space="preserve"> PAGEREF _Toc21368 </w:instrText>
          </w:r>
          <w:r>
            <w:fldChar w:fldCharType="separate"/>
          </w:r>
          <w:r>
            <w:t>42</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_Toc32753 </w:instrText>
          </w:r>
          <w:r>
            <w:rPr>
              <w:rFonts w:ascii="宋体" w:hAnsi="宋体" w:eastAsia="宋体"/>
              <w:bCs/>
              <w:lang w:val="zh-CN"/>
            </w:rPr>
            <w:fldChar w:fldCharType="separate"/>
          </w:r>
          <w:r>
            <w:rPr>
              <w:rFonts w:hint="eastAsia"/>
            </w:rPr>
            <w:t>2</w:t>
          </w:r>
          <w:r>
            <w:t>、分项报价表</w:t>
          </w:r>
          <w:r>
            <w:tab/>
          </w:r>
          <w:r>
            <w:fldChar w:fldCharType="begin"/>
          </w:r>
          <w:r>
            <w:instrText xml:space="preserve"> PAGEREF _Toc32753 </w:instrText>
          </w:r>
          <w:r>
            <w:fldChar w:fldCharType="separate"/>
          </w:r>
          <w:r>
            <w:t>43</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_Toc19447 </w:instrText>
          </w:r>
          <w:r>
            <w:rPr>
              <w:rFonts w:ascii="宋体" w:hAnsi="宋体" w:eastAsia="宋体"/>
              <w:bCs/>
              <w:lang w:val="zh-CN"/>
            </w:rPr>
            <w:fldChar w:fldCharType="separate"/>
          </w:r>
          <w:r>
            <w:rPr>
              <w:rFonts w:hint="eastAsia"/>
            </w:rPr>
            <w:t>3、资格证明文件</w:t>
          </w:r>
          <w:r>
            <w:tab/>
          </w:r>
          <w:r>
            <w:fldChar w:fldCharType="begin"/>
          </w:r>
          <w:r>
            <w:instrText xml:space="preserve"> PAGEREF _Toc19447 </w:instrText>
          </w:r>
          <w:r>
            <w:fldChar w:fldCharType="separate"/>
          </w:r>
          <w:r>
            <w:t>44</w:t>
          </w:r>
          <w:r>
            <w:fldChar w:fldCharType="end"/>
          </w:r>
          <w:r>
            <w:rPr>
              <w:rFonts w:ascii="宋体" w:hAnsi="宋体" w:eastAsia="宋体"/>
              <w:bCs/>
              <w:lang w:val="zh-CN"/>
            </w:rPr>
            <w:fldChar w:fldCharType="end"/>
          </w:r>
        </w:p>
        <w:p>
          <w:pPr>
            <w:pStyle w:val="7"/>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_Toc11904 </w:instrText>
          </w:r>
          <w:r>
            <w:rPr>
              <w:rFonts w:ascii="宋体" w:hAnsi="宋体" w:eastAsia="宋体"/>
              <w:bCs/>
              <w:lang w:val="zh-CN"/>
            </w:rPr>
            <w:fldChar w:fldCharType="separate"/>
          </w:r>
          <w:r>
            <w:rPr>
              <w:rFonts w:hint="eastAsia"/>
            </w:rPr>
            <w:t>3</w:t>
          </w:r>
          <w:r>
            <w:t>-1单位负责人授权书（若有）</w:t>
          </w:r>
          <w:r>
            <w:tab/>
          </w:r>
          <w:r>
            <w:fldChar w:fldCharType="begin"/>
          </w:r>
          <w:r>
            <w:instrText xml:space="preserve"> PAGEREF _Toc11904 </w:instrText>
          </w:r>
          <w:r>
            <w:fldChar w:fldCharType="separate"/>
          </w:r>
          <w:r>
            <w:t>44</w:t>
          </w:r>
          <w:r>
            <w:fldChar w:fldCharType="end"/>
          </w:r>
          <w:r>
            <w:rPr>
              <w:rFonts w:ascii="宋体" w:hAnsi="宋体" w:eastAsia="宋体"/>
              <w:bCs/>
              <w:lang w:val="zh-CN"/>
            </w:rPr>
            <w:fldChar w:fldCharType="end"/>
          </w:r>
        </w:p>
        <w:p>
          <w:pPr>
            <w:pStyle w:val="7"/>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_Toc16968 </w:instrText>
          </w:r>
          <w:r>
            <w:rPr>
              <w:rFonts w:ascii="宋体" w:hAnsi="宋体" w:eastAsia="宋体"/>
              <w:bCs/>
              <w:lang w:val="zh-CN"/>
            </w:rPr>
            <w:fldChar w:fldCharType="separate"/>
          </w:r>
          <w:r>
            <w:rPr>
              <w:rFonts w:hint="eastAsia"/>
            </w:rPr>
            <w:t>3</w:t>
          </w:r>
          <w:r>
            <w:t>-2营业执照等证明文件</w:t>
          </w:r>
          <w:r>
            <w:tab/>
          </w:r>
          <w:r>
            <w:fldChar w:fldCharType="begin"/>
          </w:r>
          <w:r>
            <w:instrText xml:space="preserve"> PAGEREF _Toc16968 </w:instrText>
          </w:r>
          <w:r>
            <w:fldChar w:fldCharType="separate"/>
          </w:r>
          <w:r>
            <w:t>45</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_Toc26424 </w:instrText>
          </w:r>
          <w:r>
            <w:rPr>
              <w:rFonts w:ascii="宋体" w:hAnsi="宋体" w:eastAsia="宋体"/>
              <w:bCs/>
              <w:lang w:val="zh-CN"/>
            </w:rPr>
            <w:fldChar w:fldCharType="separate"/>
          </w:r>
          <w:r>
            <w:rPr>
              <w:rFonts w:hint="eastAsia"/>
            </w:rPr>
            <w:t>4</w:t>
          </w:r>
          <w:r>
            <w:t>、技术要求响应表</w:t>
          </w:r>
          <w:r>
            <w:tab/>
          </w:r>
          <w:r>
            <w:fldChar w:fldCharType="begin"/>
          </w:r>
          <w:r>
            <w:instrText xml:space="preserve"> PAGEREF _Toc26424 </w:instrText>
          </w:r>
          <w:r>
            <w:fldChar w:fldCharType="separate"/>
          </w:r>
          <w:r>
            <w:t>46</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_Toc24633 </w:instrText>
          </w:r>
          <w:r>
            <w:rPr>
              <w:rFonts w:ascii="宋体" w:hAnsi="宋体" w:eastAsia="宋体"/>
              <w:bCs/>
              <w:lang w:val="zh-CN"/>
            </w:rPr>
            <w:fldChar w:fldCharType="separate"/>
          </w:r>
          <w:r>
            <w:rPr>
              <w:rFonts w:hint="eastAsia"/>
            </w:rPr>
            <w:t>5</w:t>
          </w:r>
          <w:r>
            <w:t>、商务条件响应表</w:t>
          </w:r>
          <w:r>
            <w:tab/>
          </w:r>
          <w:r>
            <w:fldChar w:fldCharType="begin"/>
          </w:r>
          <w:r>
            <w:instrText xml:space="preserve"> PAGEREF _Toc24633 </w:instrText>
          </w:r>
          <w:r>
            <w:fldChar w:fldCharType="separate"/>
          </w:r>
          <w:r>
            <w:t>47</w:t>
          </w:r>
          <w:r>
            <w:fldChar w:fldCharType="end"/>
          </w:r>
          <w:r>
            <w:rPr>
              <w:rFonts w:ascii="宋体" w:hAnsi="宋体" w:eastAsia="宋体"/>
              <w:bCs/>
              <w:lang w:val="zh-CN"/>
            </w:rPr>
            <w:fldChar w:fldCharType="end"/>
          </w:r>
        </w:p>
        <w:p>
          <w:pPr>
            <w:pStyle w:val="13"/>
            <w:tabs>
              <w:tab w:val="right" w:leader="dot" w:pos="8306"/>
            </w:tabs>
          </w:pPr>
          <w:r>
            <w:rPr>
              <w:rFonts w:ascii="宋体" w:hAnsi="宋体" w:eastAsia="宋体"/>
              <w:bCs/>
              <w:lang w:val="zh-CN"/>
            </w:rPr>
            <w:fldChar w:fldCharType="begin"/>
          </w:r>
          <w:r>
            <w:rPr>
              <w:rFonts w:ascii="宋体" w:hAnsi="宋体" w:eastAsia="宋体"/>
              <w:bCs/>
              <w:lang w:val="zh-CN"/>
            </w:rPr>
            <w:instrText xml:space="preserve"> HYPERLINK \l _Toc25524 </w:instrText>
          </w:r>
          <w:r>
            <w:rPr>
              <w:rFonts w:ascii="宋体" w:hAnsi="宋体" w:eastAsia="宋体"/>
              <w:bCs/>
              <w:lang w:val="zh-CN"/>
            </w:rPr>
            <w:fldChar w:fldCharType="separate"/>
          </w:r>
          <w:r>
            <w:rPr>
              <w:rFonts w:hint="eastAsia"/>
            </w:rPr>
            <w:t>6</w:t>
          </w:r>
          <w:r>
            <w:t>、</w:t>
          </w:r>
          <w:r>
            <w:rPr>
              <w:rFonts w:hint="eastAsia"/>
            </w:rPr>
            <w:t>售后服务承诺函</w:t>
          </w:r>
          <w:r>
            <w:tab/>
          </w:r>
          <w:r>
            <w:fldChar w:fldCharType="begin"/>
          </w:r>
          <w:r>
            <w:instrText xml:space="preserve"> PAGEREF _Toc25524 </w:instrText>
          </w:r>
          <w:r>
            <w:fldChar w:fldCharType="separate"/>
          </w:r>
          <w:r>
            <w:t>48</w:t>
          </w:r>
          <w:r>
            <w:fldChar w:fldCharType="end"/>
          </w:r>
          <w:r>
            <w:rPr>
              <w:rFonts w:ascii="宋体" w:hAnsi="宋体" w:eastAsia="宋体"/>
              <w:bCs/>
              <w:lang w:val="zh-CN"/>
            </w:rPr>
            <w:fldChar w:fldCharType="end"/>
          </w:r>
        </w:p>
        <w:p>
          <w:pPr>
            <w:spacing w:line="360" w:lineRule="auto"/>
          </w:pPr>
          <w:r>
            <w:rPr>
              <w:rFonts w:ascii="宋体" w:hAnsi="宋体" w:eastAsia="宋体"/>
              <w:bCs/>
              <w:lang w:val="zh-CN"/>
            </w:rPr>
            <w:fldChar w:fldCharType="end"/>
          </w:r>
        </w:p>
      </w:sdtContent>
    </w:sdt>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0" w:name="_Toc17903"/>
      <w:r>
        <w:t>第一章询价邀请/询价邀请书</w:t>
      </w:r>
      <w:bookmarkEnd w:id="0"/>
    </w:p>
    <w:p>
      <w:pPr>
        <w:pStyle w:val="15"/>
        <w:keepNext w:val="0"/>
        <w:keepLines w:val="0"/>
        <w:widowControl/>
        <w:suppressLineNumbers w:val="0"/>
        <w:spacing w:before="0" w:beforeAutospacing="0" w:after="0" w:afterAutospacing="0" w:line="23" w:lineRule="atLeast"/>
        <w:ind w:left="-362" w:right="-362" w:firstLine="480" w:firstLineChars="200"/>
        <w:jc w:val="both"/>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eastAsia="zh-CN"/>
        </w:rPr>
        <w:t>沙县</w:t>
      </w:r>
      <w:r>
        <w:rPr>
          <w:rFonts w:hint="eastAsia" w:ascii="宋体" w:hAnsi="宋体" w:eastAsia="宋体"/>
          <w:sz w:val="24"/>
          <w:szCs w:val="24"/>
        </w:rPr>
        <w:t>分公司组织</w:t>
      </w:r>
      <w:r>
        <w:rPr>
          <w:rFonts w:hint="eastAsia"/>
          <w:b/>
          <w:bCs/>
          <w:sz w:val="32"/>
          <w:szCs w:val="24"/>
          <w:u w:val="single" w:color="auto"/>
          <w:lang w:eastAsia="zh-CN"/>
        </w:rPr>
        <w:t>沙县南霞乡龙松村、东周村平安库区视频监控工程</w:t>
      </w:r>
      <w:r>
        <w:rPr>
          <w:rFonts w:hint="eastAsia" w:ascii="宋体" w:hAnsi="宋体" w:eastAsia="宋体"/>
          <w:sz w:val="24"/>
          <w:szCs w:val="24"/>
        </w:rPr>
        <w:t>标前询价，欢迎合格供应商前来参加。</w:t>
      </w:r>
    </w:p>
    <w:p>
      <w:pPr>
        <w:widowControl/>
        <w:shd w:val="clear" w:color="auto" w:fill="FFFFFF"/>
        <w:spacing w:line="360" w:lineRule="auto"/>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 xml:space="preserve">项目编号： </w:t>
      </w:r>
      <w:r>
        <w:rPr>
          <w:rFonts w:hint="eastAsia" w:ascii="宋体" w:hAnsi="宋体" w:eastAsia="宋体"/>
          <w:sz w:val="24"/>
          <w:szCs w:val="24"/>
          <w:lang w:eastAsia="zh-CN"/>
        </w:rPr>
        <w:t>2020042800033</w:t>
      </w:r>
      <w:r>
        <w:rPr>
          <w:rFonts w:hint="eastAsia" w:ascii="宋体" w:hAnsi="宋体" w:eastAsia="宋体"/>
          <w:sz w:val="24"/>
          <w:szCs w:val="24"/>
        </w:rPr>
        <w:t xml:space="preserve"> </w:t>
      </w:r>
    </w:p>
    <w:p>
      <w:pPr>
        <w:numPr>
          <w:ilvl w:val="0"/>
          <w:numId w:val="1"/>
        </w:numPr>
        <w:spacing w:line="360" w:lineRule="auto"/>
        <w:ind w:firstLine="480"/>
        <w:jc w:val="left"/>
      </w:pPr>
      <w:r>
        <w:rPr>
          <w:rFonts w:hint="eastAsia" w:ascii="宋体" w:hAnsi="宋体" w:eastAsia="宋体"/>
          <w:sz w:val="24"/>
          <w:szCs w:val="24"/>
        </w:rPr>
        <w:t>预算金额、最高限价：</w:t>
      </w:r>
      <w:r>
        <w:rPr>
          <w:rFonts w:hint="eastAsia" w:ascii="宋体" w:hAnsi="宋体" w:eastAsia="宋体"/>
          <w:sz w:val="24"/>
          <w:szCs w:val="24"/>
          <w:lang w:val="en-US" w:eastAsia="zh-CN"/>
        </w:rPr>
        <w:t>20</w:t>
      </w:r>
      <w:r>
        <w:rPr>
          <w:rFonts w:ascii="宋体" w:hAnsi="宋体" w:eastAsia="宋体"/>
          <w:sz w:val="24"/>
          <w:szCs w:val="24"/>
        </w:rPr>
        <w:t>万元</w:t>
      </w:r>
      <w:r>
        <w:rPr>
          <w:rFonts w:hint="eastAsia" w:ascii="宋体" w:hAnsi="宋体" w:eastAsia="宋体"/>
          <w:sz w:val="24"/>
          <w:szCs w:val="24"/>
          <w:lang w:eastAsia="zh-CN"/>
        </w:rPr>
        <w:t>。</w:t>
      </w:r>
    </w:p>
    <w:p>
      <w:pPr>
        <w:numPr>
          <w:ilvl w:val="0"/>
          <w:numId w:val="1"/>
        </w:numPr>
        <w:spacing w:line="360" w:lineRule="auto"/>
        <w:ind w:firstLine="480"/>
        <w:jc w:val="left"/>
        <w:rPr>
          <w:rFonts w:ascii="宋体" w:hAnsi="宋体" w:eastAsia="宋体"/>
          <w:sz w:val="24"/>
          <w:szCs w:val="24"/>
        </w:rPr>
      </w:pPr>
      <w:r>
        <w:rPr>
          <w:rFonts w:ascii="宋体" w:hAnsi="宋体" w:eastAsia="宋体"/>
          <w:sz w:val="24"/>
          <w:szCs w:val="24"/>
        </w:rPr>
        <w:t>询价内容及技术商务依据</w:t>
      </w:r>
      <w:r>
        <w:rPr>
          <w:rFonts w:hint="eastAsia" w:ascii="宋体" w:hAnsi="宋体" w:eastAsia="宋体"/>
          <w:sz w:val="24"/>
          <w:szCs w:val="24"/>
        </w:rPr>
        <w:t>项目编号：</w:t>
      </w:r>
      <w:r>
        <w:rPr>
          <w:rFonts w:hint="eastAsia" w:ascii="宋体" w:hAnsi="宋体" w:eastAsia="宋体"/>
          <w:sz w:val="24"/>
          <w:szCs w:val="24"/>
          <w:u w:val="single"/>
        </w:rPr>
        <w:t xml:space="preserve"> 永明【2020】沙招字第009号  </w:t>
      </w:r>
      <w:r>
        <w:rPr>
          <w:rFonts w:hint="eastAsia" w:ascii="宋体" w:hAnsi="宋体" w:eastAsia="宋体"/>
          <w:sz w:val="24"/>
          <w:szCs w:val="24"/>
        </w:rPr>
        <w:t>招标要</w:t>
      </w:r>
      <w:r>
        <w:rPr>
          <w:rFonts w:ascii="宋体" w:hAnsi="宋体" w:eastAsia="宋体"/>
          <w:sz w:val="24"/>
          <w:szCs w:val="24"/>
        </w:rPr>
        <w:t>求</w:t>
      </w:r>
      <w:r>
        <w:rPr>
          <w:rFonts w:hint="eastAsia" w:ascii="宋体" w:hAnsi="宋体" w:eastAsia="宋体"/>
          <w:sz w:val="24"/>
          <w:szCs w:val="24"/>
        </w:rPr>
        <w:t>。</w:t>
      </w:r>
    </w:p>
    <w:p>
      <w:pPr>
        <w:pStyle w:val="15"/>
        <w:snapToGrid w:val="0"/>
        <w:spacing w:line="360" w:lineRule="auto"/>
        <w:contextualSpacing/>
      </w:pPr>
      <w:r>
        <w:rPr>
          <w:rFonts w:hint="eastAsia"/>
        </w:rPr>
        <w:t>二、供应商资格要求</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5"/>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1" w:name="_Toc18736"/>
      <w:r>
        <w:t>第二章询价须知</w:t>
      </w:r>
      <w:bookmarkEnd w:id="1"/>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6"/>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5"/>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5"/>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eastAsia="zh-CN"/>
              </w:rPr>
              <w:t>沙县</w:t>
            </w:r>
            <w:r>
              <w:rPr>
                <w:rFonts w:hint="eastAsia"/>
              </w:rPr>
              <w:t>分公司通报整改期限内；</w:t>
            </w:r>
          </w:p>
          <w:p>
            <w:pPr>
              <w:pStyle w:val="15"/>
              <w:snapToGrid w:val="0"/>
              <w:spacing w:line="360" w:lineRule="auto"/>
              <w:ind w:firstLine="480" w:firstLineChars="200"/>
              <w:contextualSpacing/>
            </w:pPr>
            <w:r>
              <w:rPr>
                <w:rFonts w:hint="eastAsia"/>
              </w:rPr>
              <w:t>（三）理解并遵守福建广电网络集团股份有限公司</w:t>
            </w:r>
            <w:r>
              <w:rPr>
                <w:rFonts w:hint="eastAsia"/>
                <w:lang w:eastAsia="zh-CN"/>
              </w:rPr>
              <w:t>沙县</w:t>
            </w:r>
            <w:r>
              <w:rPr>
                <w:rFonts w:hint="eastAsia"/>
              </w:rPr>
              <w:t>分公司采购平台的规定及要求；</w:t>
            </w:r>
          </w:p>
          <w:p>
            <w:pPr>
              <w:pStyle w:val="15"/>
              <w:snapToGrid w:val="0"/>
              <w:spacing w:line="360" w:lineRule="auto"/>
              <w:ind w:firstLine="480" w:firstLineChars="200"/>
              <w:contextualSpacing/>
              <w:rPr>
                <w:rFonts w:hint="eastAsia"/>
                <w:lang w:eastAsia="zh-CN"/>
              </w:rPr>
            </w:pPr>
            <w:r>
              <w:rPr>
                <w:rFonts w:hint="eastAsia"/>
              </w:rPr>
              <w:t>（四）所有参加投标的投标方代表均需随身携带本人身份证原件。如果投标方代表不是法定代表人，投标方代表还需提交《法定代表人授权书》</w:t>
            </w:r>
            <w:r>
              <w:rPr>
                <w:rFonts w:hint="eastAsia"/>
                <w:lang w:eastAsia="zh-CN"/>
              </w:rPr>
              <w:t>，且投标供应商授权代表必须为在岗员工。</w:t>
            </w:r>
          </w:p>
          <w:p>
            <w:pPr>
              <w:pStyle w:val="8"/>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（五）</w:t>
            </w:r>
            <w:r>
              <w:rPr>
                <w:rFonts w:hint="eastAsia" w:ascii="宋体" w:hAnsi="宋体" w:eastAsia="宋体" w:cs="宋体"/>
                <w:kern w:val="0"/>
                <w:sz w:val="24"/>
                <w:szCs w:val="24"/>
                <w:lang w:val="en-US" w:eastAsia="zh-CN" w:bidi="ar-SA"/>
              </w:rPr>
              <w:t>报价人应是具备独立法人（单位负责人）资格，注册资本不少于100万元，且注册时间不少于2年，并有能力提供询价货物及服务的国内企业；若报价人为分公司的，所属母公司须为上市企业或大型国有企业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pPr>
              <w:pStyle w:val="8"/>
              <w:numPr>
                <w:ilvl w:val="0"/>
                <w:numId w:val="0"/>
              </w:numPr>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（六）</w:t>
            </w:r>
            <w:r>
              <w:rPr>
                <w:rFonts w:hint="eastAsia" w:ascii="宋体" w:hAnsi="宋体" w:eastAsia="宋体" w:cs="宋体"/>
                <w:kern w:val="0"/>
                <w:sz w:val="24"/>
                <w:szCs w:val="24"/>
                <w:lang w:val="en-US" w:eastAsia="zh-CN" w:bidi="ar-SA"/>
              </w:rPr>
              <w:t>报价人须在投标截止时间前分别通过“信用中国”网站（www.creditchina.gov.cn）、中国政府采购网（www.ccgp.gov.cn）查询并打印相应的信用记录,信用记录中有不良情况，存在履约、实施、交付风险的报价人不允许参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（七）</w:t>
            </w:r>
            <w:r>
              <w:rPr>
                <w:rFonts w:hint="eastAsia" w:ascii="宋体" w:hAnsi="宋体" w:eastAsia="宋体" w:cs="宋体"/>
                <w:kern w:val="0"/>
                <w:sz w:val="24"/>
                <w:szCs w:val="24"/>
                <w:lang w:val="en-US" w:eastAsia="zh-CN" w:bidi="ar-SA"/>
              </w:rPr>
              <w:t>投标供应商应提供投标日期最近半年任意一个月企业社保缴纳证明以及企业完税证明。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（八）</w:t>
            </w:r>
            <w:r>
              <w:rPr>
                <w:rFonts w:hint="eastAsia" w:ascii="宋体" w:hAnsi="宋体" w:eastAsia="宋体" w:cs="宋体"/>
                <w:kern w:val="0"/>
                <w:sz w:val="24"/>
                <w:szCs w:val="24"/>
                <w:lang w:val="en-US" w:eastAsia="zh-CN" w:bidi="ar-SA"/>
              </w:rPr>
              <w:t>投标授权代表必须为在岗员工，提供投标日期前不少于3个月企业社保缴纳证明。</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（九）</w:t>
            </w:r>
            <w:r>
              <w:rPr>
                <w:rFonts w:hint="eastAsia" w:ascii="宋体" w:hAnsi="宋体" w:eastAsia="宋体" w:cs="宋体"/>
                <w:kern w:val="0"/>
                <w:sz w:val="24"/>
                <w:szCs w:val="24"/>
                <w:lang w:val="en-US" w:eastAsia="zh-CN" w:bidi="ar-SA"/>
              </w:rPr>
              <w:t>报价人必须承诺“其所报的设备和系统已完全达到本标书的系统总体设计和功能要求，中标后采购人根据参数对产品进行逐一验证，若有任何一项不符视为虚假应标，并承担相应的经济损失和法律责任。</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w:t>
            </w:r>
            <w:r>
              <w:rPr>
                <w:rFonts w:hint="eastAsia" w:ascii="宋体" w:hAnsi="宋体" w:eastAsia="宋体" w:cs="宋体"/>
                <w:kern w:val="0"/>
                <w:sz w:val="24"/>
                <w:szCs w:val="24"/>
                <w:lang w:val="en-US" w:eastAsia="zh-CN" w:bidi="ar-SA"/>
              </w:rPr>
              <w:t>报价人必须提供响应的业绩案例，案例为已完成验收的项目，金额不得小于本次项目预算金额的50%，并提供项目合同及验收报告。</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（十一）</w:t>
            </w:r>
            <w:r>
              <w:rPr>
                <w:rFonts w:hint="eastAsia" w:ascii="宋体" w:hAnsi="宋体" w:eastAsia="宋体" w:cs="宋体"/>
                <w:kern w:val="0"/>
                <w:sz w:val="24"/>
                <w:szCs w:val="24"/>
                <w:lang w:val="en-US" w:eastAsia="zh-CN" w:bidi="ar-SA"/>
              </w:rPr>
              <w:t>两家或多家参与投标的报价人，如果单位负责人为同一人或者存在控股、管理关系的，不允许参与项目投标。</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（十二）</w:t>
            </w:r>
            <w:r>
              <w:rPr>
                <w:rFonts w:hint="eastAsia" w:ascii="宋体" w:hAnsi="宋体" w:eastAsia="宋体" w:cs="宋体"/>
                <w:kern w:val="0"/>
                <w:sz w:val="24"/>
                <w:szCs w:val="24"/>
                <w:lang w:val="en-US" w:eastAsia="zh-CN" w:bidi="ar-SA"/>
              </w:rPr>
              <w:t>本项目为交钥匙工程。</w:t>
            </w:r>
          </w:p>
          <w:p>
            <w:pPr>
              <w:pStyle w:val="8"/>
              <w:widowControl/>
              <w:numPr>
                <w:ilvl w:val="0"/>
                <w:numId w:val="0"/>
              </w:numPr>
              <w:shd w:val="clear" w:color="auto" w:fill="FFFFFF"/>
              <w:tabs>
                <w:tab w:val="left" w:pos="1843"/>
              </w:tabs>
              <w:adjustRightInd w:val="0"/>
              <w:snapToGrid w:val="0"/>
              <w:spacing w:line="360" w:lineRule="auto"/>
              <w:ind w:firstLine="480" w:firstLineChars="200"/>
              <w:rPr>
                <w:rFonts w:hint="eastAsia" w:ascii="宋体" w:hAnsi="宋体" w:eastAsia="宋体" w:cs="宋体"/>
                <w:kern w:val="0"/>
                <w:sz w:val="24"/>
                <w:szCs w:val="24"/>
                <w:lang w:val="en-US" w:eastAsia="zh-CN" w:bidi="ar-SA"/>
              </w:rPr>
            </w:pPr>
            <w:r>
              <w:rPr>
                <w:rFonts w:hint="eastAsia" w:hAnsi="宋体" w:eastAsia="宋体" w:cs="宋体"/>
                <w:kern w:val="0"/>
                <w:sz w:val="24"/>
                <w:szCs w:val="24"/>
                <w:lang w:val="en-US" w:eastAsia="zh-CN" w:bidi="ar-SA"/>
              </w:rPr>
              <w:t>（十三）</w:t>
            </w:r>
            <w:r>
              <w:rPr>
                <w:rFonts w:hint="eastAsia" w:ascii="宋体" w:hAnsi="宋体" w:eastAsia="宋体" w:cs="宋体"/>
                <w:kern w:val="0"/>
                <w:sz w:val="24"/>
                <w:szCs w:val="24"/>
                <w:lang w:val="en-US" w:eastAsia="zh-CN" w:bidi="ar-SA"/>
              </w:rPr>
              <w:t>本项目不接受联合体报价。</w:t>
            </w:r>
          </w:p>
          <w:p>
            <w:pPr>
              <w:pStyle w:val="15"/>
              <w:snapToGrid w:val="0"/>
              <w:spacing w:line="360" w:lineRule="auto"/>
              <w:ind w:firstLine="480" w:firstLineChars="200"/>
              <w:contextualSpacing/>
              <w:rPr>
                <w:rFonts w:hint="eastAsia"/>
                <w:lang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w:t>
            </w:r>
            <w:r>
              <w:rPr>
                <w:rFonts w:hint="eastAsia" w:ascii="宋体" w:hAnsi="宋体" w:eastAsia="宋体" w:cs="宋体"/>
                <w:kern w:val="0"/>
                <w:sz w:val="24"/>
                <w:szCs w:val="24"/>
                <w:lang w:val="en-US" w:eastAsia="zh-CN"/>
              </w:rPr>
              <w:t>6</w:t>
            </w:r>
            <w:r>
              <w:rPr>
                <w:rFonts w:ascii="宋体" w:hAnsi="宋体" w:eastAsia="宋体" w:cs="宋体"/>
                <w:kern w:val="0"/>
                <w:sz w:val="24"/>
                <w:szCs w:val="24"/>
              </w:rPr>
              <w:t>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合同签订后（收到乙方开具的等额增值税专用发票）15日内现金支付合同总价的50%，全部货物交货并经验收合格后（收到乙方开具的等额增值税专用发票）15日内背靠背现金支付合同总价45%，余下5%作为质量保证金，叁年质保期满后无质量问题背靠背现金无息支付。（支付方式：短期垫资现金支付） </w:t>
            </w:r>
          </w:p>
        </w:tc>
      </w:tr>
    </w:tbl>
    <w:p>
      <w:pPr>
        <w:pStyle w:val="2"/>
      </w:pPr>
      <w:bookmarkStart w:id="2" w:name="_Toc25794"/>
      <w:r>
        <w:t>第</w:t>
      </w:r>
      <w:r>
        <w:rPr>
          <w:rFonts w:hint="eastAsia"/>
        </w:rPr>
        <w:t>三</w:t>
      </w:r>
      <w:r>
        <w:t>章询价内容及要求</w:t>
      </w:r>
      <w:bookmarkEnd w:id="2"/>
    </w:p>
    <w:p>
      <w:pPr>
        <w:pStyle w:val="3"/>
        <w:numPr>
          <w:ilvl w:val="0"/>
          <w:numId w:val="2"/>
        </w:numPr>
        <w:rPr>
          <w:rFonts w:hint="eastAsia"/>
        </w:rPr>
      </w:pPr>
      <w:bookmarkStart w:id="3" w:name="_Toc17208"/>
      <w:r>
        <w:t>采购标的</w:t>
      </w:r>
      <w:r>
        <w:rPr>
          <w:rFonts w:hint="eastAsia"/>
        </w:rPr>
        <w:t>一览表</w:t>
      </w:r>
      <w:bookmarkEnd w:id="3"/>
    </w:p>
    <w:p>
      <w:pPr>
        <w:numPr>
          <w:ilvl w:val="0"/>
          <w:numId w:val="0"/>
        </w:numPr>
        <w:rPr>
          <w:rFonts w:hint="eastAsia" w:eastAsia="宋体"/>
          <w:lang w:eastAsia="zh-CN"/>
        </w:rPr>
      </w:pPr>
      <w:r>
        <w:rPr>
          <w:rFonts w:hint="eastAsia" w:eastAsia="宋体"/>
          <w:lang w:eastAsia="zh-CN"/>
        </w:rPr>
        <w:t>金额单位：人民币元</w:t>
      </w:r>
    </w:p>
    <w:tbl>
      <w:tblPr>
        <w:tblStyle w:val="16"/>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16"/>
              <w:tblW w:w="551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0"/>
              <w:gridCol w:w="1840"/>
              <w:gridCol w:w="919"/>
              <w:gridCol w:w="919"/>
              <w:gridCol w:w="9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2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840"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hint="eastAsia" w:ascii="宋体" w:hAnsi="宋体" w:eastAsia="宋体" w:cs="宋体"/>
                      <w:kern w:val="0"/>
                      <w:sz w:val="24"/>
                      <w:szCs w:val="24"/>
                      <w:lang w:val="en-US" w:eastAsia="zh-CN"/>
                    </w:rPr>
                  </w:pPr>
                  <w:r>
                    <w:rPr>
                      <w:rFonts w:hint="eastAsia"/>
                    </w:rPr>
                    <w:t>沙县南霞乡龙松村、东周村平安库区视频监控工程</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200000 </w:t>
                  </w:r>
                </w:p>
              </w:tc>
              <w:tc>
                <w:tcPr>
                  <w:tcW w:w="91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200000 </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无</w:t>
            </w:r>
          </w:p>
        </w:tc>
      </w:tr>
    </w:tbl>
    <w:p>
      <w:pPr>
        <w:rPr>
          <w:rFonts w:hint="eastAsia" w:ascii="宋体" w:hAnsi="宋体" w:eastAsia="宋体" w:cs="宋体"/>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bookmarkStart w:id="4" w:name="_Toc28866"/>
    </w:p>
    <w:p>
      <w:pPr>
        <w:pStyle w:val="3"/>
        <w:numPr>
          <w:ilvl w:val="0"/>
          <w:numId w:val="2"/>
        </w:numPr>
        <w:ind w:left="0" w:leftChars="0" w:firstLine="0" w:firstLineChars="0"/>
      </w:pPr>
      <w:r>
        <w:t>技术要求（以下内容不允许负偏离）</w:t>
      </w:r>
      <w:bookmarkEnd w:id="4"/>
    </w:p>
    <w:p>
      <w:pPr>
        <w:numPr>
          <w:numId w:val="0"/>
        </w:numPr>
        <w:ind w:leftChars="0"/>
        <w:jc w:val="center"/>
        <w:rPr>
          <w:rFonts w:hint="eastAsia"/>
        </w:rPr>
      </w:pPr>
      <w:r>
        <w:rPr>
          <w:rFonts w:hint="eastAsia"/>
          <w:b/>
          <w:bCs/>
          <w:sz w:val="32"/>
          <w:szCs w:val="32"/>
          <w:lang w:eastAsia="zh-CN"/>
        </w:rPr>
        <w:t>龙松村</w:t>
      </w:r>
      <w:r>
        <w:rPr>
          <w:rFonts w:hint="eastAsia"/>
          <w:b/>
          <w:bCs/>
          <w:sz w:val="32"/>
          <w:szCs w:val="32"/>
          <w:lang w:val="en-US" w:eastAsia="zh-CN"/>
        </w:rPr>
        <w:t>平安库区视频监控工程</w:t>
      </w:r>
      <w:r>
        <w:rPr>
          <w:rFonts w:hint="eastAsia"/>
          <w:b/>
          <w:bCs/>
          <w:sz w:val="32"/>
          <w:szCs w:val="32"/>
          <w:lang w:eastAsia="zh-CN"/>
        </w:rPr>
        <w:t>预算清单</w:t>
      </w:r>
    </w:p>
    <w:tbl>
      <w:tblPr>
        <w:tblStyle w:val="16"/>
        <w:tblW w:w="8229" w:type="dxa"/>
        <w:jc w:val="center"/>
        <w:tblLayout w:type="fixed"/>
        <w:tblCellMar>
          <w:top w:w="0" w:type="dxa"/>
          <w:left w:w="0" w:type="dxa"/>
          <w:bottom w:w="0" w:type="dxa"/>
          <w:right w:w="0" w:type="dxa"/>
        </w:tblCellMar>
      </w:tblPr>
      <w:tblGrid>
        <w:gridCol w:w="420"/>
        <w:gridCol w:w="780"/>
        <w:gridCol w:w="5663"/>
        <w:gridCol w:w="478"/>
        <w:gridCol w:w="450"/>
        <w:gridCol w:w="438"/>
      </w:tblGrid>
      <w:tr>
        <w:tblPrEx>
          <w:tblCellMar>
            <w:top w:w="0" w:type="dxa"/>
            <w:left w:w="0" w:type="dxa"/>
            <w:bottom w:w="0" w:type="dxa"/>
            <w:right w:w="0" w:type="dxa"/>
          </w:tblCellMar>
        </w:tblPrEx>
        <w:trPr>
          <w:trHeight w:val="521" w:hRule="atLeast"/>
          <w:jc w:val="center"/>
        </w:trPr>
        <w:tc>
          <w:tcPr>
            <w:tcW w:w="4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5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参数</w:t>
            </w:r>
          </w:p>
        </w:tc>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前端设备</w:t>
            </w:r>
          </w:p>
        </w:tc>
        <w:tc>
          <w:tcPr>
            <w:tcW w:w="5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全彩枪型网络摄像机</w:t>
            </w:r>
          </w:p>
        </w:tc>
        <w:tc>
          <w:tcPr>
            <w:tcW w:w="56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1.具有200万像素CMOS传感器。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2.内置2颗白光补光灯。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3.最低照度彩色：≤0.0004lx,白天或夜晚均可输出彩色视频图像。（需提供招标日期之前生效由公安部授权机构出具的检测报告复印件证明，原件备查）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4.需支持三码流技术，可同时浏览三路码流，主码流最高1920x1080@30fps，第三码流最大1920x1080@30fps，子码流704x480@30fps。</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5.支持H.264、H.265、MJPEG视频编码格式，其中H.264支持Baseline/Main/HighProfile。</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6.信噪比不小于59dB，需具大于105dB宽动态。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7.需具备人脸检测、区域入侵检测、越界检测、虚焦检测、进入区域、离开区域、徘徊、人员聚集、场景变更等功能。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8.需具有电子防抖、ROI感兴趣区域、SVC可伸缩编码、自动增益、背光补偿、数字降噪、强光抑制、防红外过曝等功能。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9.摄像机能够在-45~70摄氏度，湿度小于93%环境下稳定工作。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10.不低于IP67防尘防水等级。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11.需支持DC12V供电，且在不小于DC12V±30%范围内变化时可以正常工作。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12.设备工作状态时，支持空气放电8kV，接触放电6kV，通讯端口支持6kV峰值电压。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13.同一静止场景相同图像质量下，设备在H.265编码方式时，开启智能编码功能和不开启智能编码相比，码率节约1/2。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14.设备厂商应具有完善的工业信息安全应急体系、良好的安全应急能力，能被工业信息安全产业发展联盟认定为“工业信息安全应急服务支撑单位”，投标时提供有效证明材料证明。</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补光灯</w:t>
            </w:r>
          </w:p>
        </w:tc>
        <w:tc>
          <w:tcPr>
            <w:tcW w:w="56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16颗原装进口大功率（暖光）LED常亮灯；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三车道环境补光灯，最佳补光距离16m～25m；最大功率30W</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补光灯自带光敏控制，在低照度下自动开启，低照度阀值可设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支持自闪、跟随、自动频闪（外部摄像机触发）模式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频率0-250HZ可调；支持通过调整占空比1%~39%进行亮度调节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支持在频率≥250HZ或占空比≥39%时进行自我保护，自动熄灭</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支持爆闪功能，爆闪持续时间、延迟时间及最小间隔时间可设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支持通过同步输出端口级联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支持通过RS485远程控制补光灯的亮度、开启/关闭</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可通过RS485对补光灯升级程序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可远程显示补光灯故障、正常、开启、关闭等工作状态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电源电压在AC80V~264V范围内变化时，设备能正常工作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工作环境-40℃~85℃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防护等级IP66</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4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多媒体箱</w:t>
            </w:r>
          </w:p>
        </w:tc>
        <w:tc>
          <w:tcPr>
            <w:tcW w:w="5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定制，根据现场情况定制，室外防水箱，符合国标，钢材壁厚1.2mm；静电喷塑；抱箍、螺丝、角铁等辅材采用不锈钢材质；内含漏电保护器、插排等附件。</w:t>
            </w:r>
          </w:p>
        </w:tc>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立杆</w:t>
            </w:r>
          </w:p>
        </w:tc>
        <w:tc>
          <w:tcPr>
            <w:tcW w:w="56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圆杆定制（6M高，横杆3-5M，根据现场情况而定)、镀锌防锈、抗风（含地垄基础）</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立杆</w:t>
            </w:r>
          </w:p>
        </w:tc>
        <w:tc>
          <w:tcPr>
            <w:tcW w:w="56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圆杆定制（6M高，横杆3-5M，根据现场情况而定)、镀锌防锈、抗风（含地垄基础）</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抱杆横臂(3m)</w:t>
            </w:r>
          </w:p>
        </w:tc>
        <w:tc>
          <w:tcPr>
            <w:tcW w:w="5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抱杆横臂(1-3m)</w:t>
            </w:r>
          </w:p>
        </w:tc>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8口交换机</w:t>
            </w:r>
          </w:p>
        </w:tc>
        <w:tc>
          <w:tcPr>
            <w:tcW w:w="56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8口百兆交换机</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收发器</w:t>
            </w:r>
          </w:p>
        </w:tc>
        <w:tc>
          <w:tcPr>
            <w:tcW w:w="56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支持1个10/100Base-X电口和1个100Base- X光口(单模单纤20km),全线速转发，工作温度-30~75℃</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监控标识牌</w:t>
            </w:r>
          </w:p>
        </w:tc>
        <w:tc>
          <w:tcPr>
            <w:tcW w:w="56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根据业主需求定制</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村部管理中心</w:t>
            </w:r>
          </w:p>
        </w:tc>
        <w:tc>
          <w:tcPr>
            <w:tcW w:w="5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14槽机架式机箱</w:t>
            </w:r>
          </w:p>
        </w:tc>
        <w:tc>
          <w:tcPr>
            <w:tcW w:w="56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14槽机架式光纤收发器机箱</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Style w:val="224"/>
                <w:rFonts w:hint="eastAsia" w:ascii="宋体" w:hAnsi="宋体" w:eastAsia="宋体" w:cs="宋体"/>
                <w:sz w:val="18"/>
                <w:szCs w:val="18"/>
                <w:lang w:val="en-US" w:eastAsia="zh-CN" w:bidi="ar"/>
              </w:rPr>
              <w:t>32路网络硬盘录像机</w:t>
            </w:r>
          </w:p>
        </w:tc>
        <w:tc>
          <w:tcPr>
            <w:tcW w:w="56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1.支持设置图案密码，用户通过绘制图案来解锁并登录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2.支持视频摘要回放功能：将不同时间段的多个目标叠加在一个背景上同时回放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3.可对视频画面叠加10行字符，每行可输入22个汉字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4.支持缩略图,拖动回放时间进度条，在回放控制条上显示当前拖动时间点的缩略图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5.可支持最大接入总带宽320Mbps的32路H.265编码、1080p格式的视频图像；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6.支持对任一录像进行添加自定义标签，单个文件最大支持196个标签，最大可以打4096个标签；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7.支持触控式面板，通过面板按键可进行预览、回放、参数配置等操作；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8.支持报警输入触发一键撤防功能，撤防的报警类型可选（弹出报警画面、声音警告、上传中心、发送邮件、触发报警输出）；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9.支持2组4屏显示输出，每组包含HDMI和VGA各一个，同一组内为同源输出，两组之间可异源输出视频图像，并可分别控制进行预览、回放、配置等操作；支持36/32/25/16/9/8/6/4/1分屏预览；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10.支持带有越界、区域入侵、进入/离开区域、人员聚集、快速移动、物品遗留/拿取、停车、徘徊、场景变更、虚焦、音频异常报警、PIR报警功能的网络摄像机接入与相关报警联动功能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11.支持录像打包时间1-300分钟可设置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12.支持双码流同时录像；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13.支持1/8、1/4、1/2、1、2、4、8、16、32、64、128、256等倍速回放录像，支持录像回放的剪辑和回放截图功能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14.支持8个SATA接口，1个eSATA接口，至少支持2个USB2.0，1个USB3.0接口；支持16路报警输入，8路报警输出接口</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监控硬盘(4T)</w:t>
            </w:r>
          </w:p>
        </w:tc>
        <w:tc>
          <w:tcPr>
            <w:tcW w:w="5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4T</w:t>
            </w:r>
          </w:p>
        </w:tc>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32寸液晶显示屏</w:t>
            </w:r>
          </w:p>
        </w:tc>
        <w:tc>
          <w:tcPr>
            <w:tcW w:w="5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32英寸LED显示屏，显示器分辨率1920×1080，显示比例16:9，对比度5,000:1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LCD监视器外观设计美观，实用，安全。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无故障工作时长不小于20万小时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防护等级不低于IP5X</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采用专业FPGA图像处理芯片，支持7个等级的去雾强度设置，用户可根据不同场景选择不同等级；采用自动去雾等级设置功能，设备可以根据当前场景自动匹配选择去雾参数设置；支持支持3个夜景模式选择，使光线较暗场景的图像亮度得到改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LCD监视器可选配内置解码引擎，采用ARM+DSP嵌入式构架，支持直接IPC取流解码显示；支持轮巡解码、流媒体功能，可1/4/9/16分屏显示；支持H264、MJPEG、MPEG4解码显示 .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支持定时开关机，为了满足特定用户非7x24小时使用LCD显示大屏的特定需求，可自定义按周绘制开关机时间段，或手动输入开关机时间点两种定时设置方式；软关机记忆，大屏显示单元在断电前处于待机状态，下一次上电后，仍然处于待机状态，方便控制平台集中控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支持全接口环通，支持BNC、VGA、DVI、SDI等接口的环通，支持选配DP（4K）接口，支持BNC、VGA、DVI、HDMI、SDI、DP（4K）六种信的环通显示；内置拼接处理引擎，配合环通接口，无需外设拼接控制器可实现无限拼接显示，满足小型或者基本功能的拼接需求，使成本投入最小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LCD监视器支持将实时画面的一帧定格持续显示，满足用户特定情况下的细节观察，静止查看。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LCD可选配显示单元通过光控模块，实现根据环境光线强弱自动调整大屏显示亮度，使显示效果保持在最优状态，同时实现节约能源。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支持3D降噪和空间降噪相结合，实现保证帧内图像平滑，运动图像前后帧之间图像平滑，有效降低噪声对图像质量的影响；3D梳状滤波消除动态视频图像的边缘锯齿，图像更加清晰、细腻，大幅提高动态视频的画质，图像画面真实流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LCD监视器可将输入的非50Hz/60Hz的图像转换成60Hz输出，彻底解决由于低帧率造成的画面卡顿感，使图像显示相比低帧率的图像更平滑顺畅。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通过遥控器操作可直接显示LCD监视器ID，信源类型，分辨率，系统运行时间，软件版本，温度等信息；自动检测IP冲突和断网检测，并在大屏显示提示信息；提示并显示风扇工作状态异常报警，温度异常报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LCD监视器支持U盘点播，内置MPEG、JPEG和RealMedia解码器，方便用户播放视频文件。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LCD监视器为了使非标准分辨率的视频也可以全屏完美的显示，支持边缘屏蔽功能，智能去除黑边功能，可消除显示终端上存在的黑边，及因拼缝带来的图像变形。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LCD采用双CPU+多个协处理器核的构架;双CPU负责通讯、色彩调整及模块控制等控制功能；3个DSP核+1个FPGA核负责图像数据的处理，分工明确保证系统稳定性和实时性，使图像处理更加游刃有余；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LCD监视器支持智能温度控制，可选择智能模式或全速模式；智能模式由设备自动控制风扇，根据设备运行温度来控制风扇的启停及转速；全速模式下风扇全速运转为设备散热。</w:t>
            </w:r>
          </w:p>
        </w:tc>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5</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22U网络机柜</w:t>
            </w:r>
          </w:p>
        </w:tc>
        <w:tc>
          <w:tcPr>
            <w:tcW w:w="5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黑色，前后均为网孔门，宽度600mm，深度600mm，高度1200mm，厚度:方孔条1.2mm以上，其他0.8mm以上，灰色钢化玻璃5mm</w:t>
            </w:r>
          </w:p>
        </w:tc>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PDU插座</w:t>
            </w:r>
          </w:p>
        </w:tc>
        <w:tc>
          <w:tcPr>
            <w:tcW w:w="5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8孔PDU国标插座</w:t>
            </w:r>
          </w:p>
        </w:tc>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24口千兆交换机</w:t>
            </w:r>
          </w:p>
        </w:tc>
        <w:tc>
          <w:tcPr>
            <w:tcW w:w="5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二层千兆交换机，固定千兆端口数&gt;=24个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交换容量&gt;=48Gbps，包转发速率&gt;=35.7Mpps</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符合IEEE 802.3 10Base-T，IEEE 802.3u 100Base-TX，IEEE802.3x和IEEE802.3ab 1000Base-T标准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全线速的二层千兆交换能力，保证所有端口无阻塞进行报文转发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支持MDI/MDIX自适应功能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采用存储转发的交换机制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采用共享缓存架构，每个端口可利用的缓存空间扩大数倍，可大大增强突发大流量的转发性能；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为保证全网兼容性，要求网络设备必须为同一品牌</w:t>
            </w:r>
          </w:p>
        </w:tc>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网络跳线</w:t>
            </w:r>
          </w:p>
        </w:tc>
        <w:tc>
          <w:tcPr>
            <w:tcW w:w="5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采用超五类类多股非屏蔽阻燃线缆和RJ45水晶头制做而成</w:t>
            </w:r>
          </w:p>
        </w:tc>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线材及辅材</w:t>
            </w:r>
          </w:p>
        </w:tc>
        <w:tc>
          <w:tcPr>
            <w:tcW w:w="5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超五类非屏蔽双绞线</w:t>
            </w:r>
          </w:p>
        </w:tc>
        <w:tc>
          <w:tcPr>
            <w:tcW w:w="56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芯线规格：23 AWG实芯裸铜导体,芯线直径：≥0.50mm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芯线对数：4对，每芯带有彩色编码护套；产品直径：≥ф0.50mm；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跳线尾部采用模具注塑的尾套，以保证产品可靠性；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带宽：≥150 MHz，特性阻抗：100Ω；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产品标准：YD/T 1019-2001、TIA/EIA-568B2.1-2001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支持多彩布线，不同颜色区分内网、监控网系统等</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箱</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电源线缆(摄像机)</w:t>
            </w:r>
          </w:p>
        </w:tc>
        <w:tc>
          <w:tcPr>
            <w:tcW w:w="56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RVV3*1.0</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电源线缆（市电）</w:t>
            </w:r>
          </w:p>
        </w:tc>
        <w:tc>
          <w:tcPr>
            <w:tcW w:w="56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RVV2*2.5</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接地装置</w:t>
            </w:r>
          </w:p>
        </w:tc>
        <w:tc>
          <w:tcPr>
            <w:tcW w:w="56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下地1.5--2米防雷铜杆接地，保护地线可沿穿线地沟敷设，焊接到每个钢管立杆的地脚螺栓上与杆件、机柜有效对接，焊接处应刷沥青防腐。</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PVC管</w:t>
            </w:r>
          </w:p>
        </w:tc>
        <w:tc>
          <w:tcPr>
            <w:tcW w:w="56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φ20</w:t>
            </w:r>
          </w:p>
        </w:tc>
        <w:tc>
          <w:tcPr>
            <w:tcW w:w="4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b/>
                <w:bCs/>
                <w:i w:val="0"/>
                <w:color w:val="000000"/>
                <w:kern w:val="0"/>
                <w:sz w:val="21"/>
                <w:szCs w:val="21"/>
                <w:u w:val="none"/>
                <w:lang w:val="en-US" w:eastAsia="zh-CN" w:bidi="ar"/>
              </w:rPr>
              <w:t>四</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21"/>
                <w:szCs w:val="21"/>
                <w:u w:val="none"/>
                <w:lang w:val="en-US" w:eastAsia="zh-CN" w:bidi="ar"/>
              </w:rPr>
              <w:t>系统设备安装、调试费</w:t>
            </w:r>
          </w:p>
        </w:tc>
        <w:tc>
          <w:tcPr>
            <w:tcW w:w="5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总计</w:t>
            </w:r>
          </w:p>
        </w:tc>
        <w:tc>
          <w:tcPr>
            <w:tcW w:w="5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color w:val="000000"/>
                <w:sz w:val="18"/>
                <w:szCs w:val="18"/>
                <w:u w:val="none"/>
              </w:rPr>
            </w:pPr>
          </w:p>
        </w:tc>
        <w:tc>
          <w:tcPr>
            <w:tcW w:w="4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color w:val="000000"/>
                <w:sz w:val="18"/>
                <w:szCs w:val="18"/>
                <w:u w:val="none"/>
              </w:rPr>
            </w:pPr>
          </w:p>
        </w:tc>
        <w:tc>
          <w:tcPr>
            <w:tcW w:w="4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color w:val="000000"/>
                <w:sz w:val="18"/>
                <w:szCs w:val="18"/>
                <w:u w:val="none"/>
              </w:rPr>
            </w:pPr>
          </w:p>
        </w:tc>
      </w:tr>
    </w:tbl>
    <w:p>
      <w:pPr>
        <w:numPr>
          <w:ilvl w:val="0"/>
          <w:numId w:val="0"/>
        </w:numPr>
        <w:rPr>
          <w:rFonts w:hint="eastAsia" w:ascii="宋体" w:hAnsi="宋体" w:eastAsia="宋体" w:cs="宋体"/>
          <w:sz w:val="24"/>
          <w:szCs w:val="24"/>
        </w:rPr>
      </w:pPr>
    </w:p>
    <w:p>
      <w:pPr>
        <w:jc w:val="center"/>
        <w:rPr>
          <w:rFonts w:hint="eastAsia"/>
          <w:sz w:val="32"/>
          <w:szCs w:val="32"/>
          <w:lang w:eastAsia="zh-CN"/>
        </w:rPr>
      </w:pPr>
      <w:r>
        <w:rPr>
          <w:rFonts w:hint="eastAsia"/>
          <w:b/>
          <w:bCs/>
          <w:sz w:val="32"/>
          <w:szCs w:val="32"/>
          <w:lang w:eastAsia="zh-CN"/>
        </w:rPr>
        <w:t>东周村</w:t>
      </w:r>
      <w:r>
        <w:rPr>
          <w:rFonts w:hint="eastAsia"/>
          <w:b/>
          <w:bCs/>
          <w:sz w:val="32"/>
          <w:szCs w:val="32"/>
          <w:lang w:val="en-US" w:eastAsia="zh-CN"/>
        </w:rPr>
        <w:t>平安库区视频监控工程</w:t>
      </w:r>
      <w:r>
        <w:rPr>
          <w:rFonts w:hint="eastAsia"/>
          <w:b/>
          <w:bCs/>
          <w:sz w:val="32"/>
          <w:szCs w:val="32"/>
          <w:lang w:eastAsia="zh-CN"/>
        </w:rPr>
        <w:t>预算清单</w:t>
      </w:r>
    </w:p>
    <w:p/>
    <w:tbl>
      <w:tblPr>
        <w:tblStyle w:val="16"/>
        <w:tblW w:w="5000" w:type="pct"/>
        <w:jc w:val="center"/>
        <w:tblLayout w:type="autofit"/>
        <w:tblCellMar>
          <w:top w:w="0" w:type="dxa"/>
          <w:left w:w="0" w:type="dxa"/>
          <w:bottom w:w="0" w:type="dxa"/>
          <w:right w:w="0" w:type="dxa"/>
        </w:tblCellMar>
      </w:tblPr>
      <w:tblGrid>
        <w:gridCol w:w="390"/>
        <w:gridCol w:w="1838"/>
        <w:gridCol w:w="4938"/>
        <w:gridCol w:w="390"/>
        <w:gridCol w:w="390"/>
        <w:gridCol w:w="390"/>
      </w:tblGrid>
      <w:tr>
        <w:tblPrEx>
          <w:tblCellMar>
            <w:top w:w="0" w:type="dxa"/>
            <w:left w:w="0" w:type="dxa"/>
            <w:bottom w:w="0" w:type="dxa"/>
            <w:right w:w="0" w:type="dxa"/>
          </w:tblCellMar>
        </w:tblPrEx>
        <w:trPr>
          <w:trHeight w:val="720" w:hRule="atLeast"/>
          <w:jc w:val="center"/>
        </w:trPr>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0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29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参数</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前端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设备</w:t>
            </w:r>
          </w:p>
        </w:tc>
        <w:tc>
          <w:tcPr>
            <w:tcW w:w="29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室外枪型网络摄像机</w:t>
            </w:r>
          </w:p>
        </w:tc>
        <w:tc>
          <w:tcPr>
            <w:tcW w:w="296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1.具有200万像素CMOS传感器。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2.内置2颗白光补光灯。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3.最低照度彩色：≤0.0004lx,白天或夜晚均可输出彩色视频图像。（需提供招标日期之前生效由公安部授权机构出具的检测报告复印件证明，原件备查）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4.需支持三码流技术，可同时浏览三路码流，主码流最高1920x1080@30fps，第三码流最大1920x1080@30fps，子码流704x480@30fps。</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5.支持H.264、H.265、MJPEG视频编码格式，其中H.264支持Baseline/Main/HighProfile。</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6.信噪比不小于59dB，需具大于105dB宽动态。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7.需具备人脸检测、区域入侵检测、越界检测、虚焦检测、进入区域、离开区域、徘徊、人员聚集、场景变更等功能。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8.需具有电子防抖、ROI感兴趣区域、SVC可伸缩编码、自动增益、背光补偿、数字降噪、强光抑制、防红外过曝等功能。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9.摄像机能够在-45~70摄氏度，湿度小于93%环境下稳定工作。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10.不低于IP67防尘防水等级。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11.需支持DC12V供电，且在不小于DC12V±30%范围内变化时可以正常工作。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12.设备工作状态时，支持空气放电8kV，接触放电6kV，通讯端口支持6kV峰值电压。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13.同一静止场景相同图像质量下，设备在H.265编码方式时，开启智能编码功能和不开启智能编码相比，码率节约1/2。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14.设备厂商应具有完善的工业信息安全应急体系、良好的安全应急能力，能被工业信息安全产业发展联盟认定为“工业信息安全应急服务支撑单位”，投标时提供有效证明材料证明。</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2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补光灯</w:t>
            </w:r>
          </w:p>
        </w:tc>
        <w:tc>
          <w:tcPr>
            <w:tcW w:w="296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16颗原装进口大功率（暖光）LED常亮灯；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三车道环境补光灯，最佳补光距离16m～25m；最大功率30W</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补光灯自带光敏控制，在低照度下自动开启，低照度阀值可设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支持自闪、跟随、自动频闪（外部摄像机触发）模式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频率0-250HZ可调；支持通过调整占空比1%~39%进行亮度调节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支持在频率≥250HZ或占空比≥39%时进行自我保护，自动熄灭</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支持爆闪功能，爆闪持续时间、延迟时间及最小间隔时间可设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支持通过同步输出端口级联</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支持通过RS485远程控制补光灯的亮度、开启/关闭</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可通过RS485对补光灯升级程序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可远程显示补光灯故障、正常、开启、关闭等工作状态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电源电压在AC80V~264V范围内变化时，设备能正常工作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工作环境-40℃~85℃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防护等级IP66</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2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多媒体箱</w:t>
            </w:r>
          </w:p>
        </w:tc>
        <w:tc>
          <w:tcPr>
            <w:tcW w:w="29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定制，根据现场情况定制，室外防水箱，符合国标，钢材壁厚1.2mm；静电喷塑；抱箍、螺丝、角铁等辅材采用不锈钢材质；内含漏电保护器、插排等附件。</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立杆</w:t>
            </w:r>
          </w:p>
        </w:tc>
        <w:tc>
          <w:tcPr>
            <w:tcW w:w="296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圆杆定制（6M高，横杆2M，根据现场情况而定)、镀锌防锈、抗风（含地垄基础）</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抱杆横臂(3m)</w:t>
            </w:r>
          </w:p>
        </w:tc>
        <w:tc>
          <w:tcPr>
            <w:tcW w:w="29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抱杆横臂(1-3m)</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8口交换机</w:t>
            </w:r>
          </w:p>
        </w:tc>
        <w:tc>
          <w:tcPr>
            <w:tcW w:w="296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8口百兆交换机</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收发器</w:t>
            </w:r>
          </w:p>
        </w:tc>
        <w:tc>
          <w:tcPr>
            <w:tcW w:w="296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支持1个10/100Base-X电口和1个100Base- X光口(单模单纤20km),全线速转发，工作温度-30~75℃</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监控标识牌</w:t>
            </w:r>
          </w:p>
        </w:tc>
        <w:tc>
          <w:tcPr>
            <w:tcW w:w="296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根据业主需求定制</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村部管理中心</w:t>
            </w:r>
          </w:p>
        </w:tc>
        <w:tc>
          <w:tcPr>
            <w:tcW w:w="29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14槽机架式机箱</w:t>
            </w:r>
          </w:p>
        </w:tc>
        <w:tc>
          <w:tcPr>
            <w:tcW w:w="296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14槽机架式光纤收发器机箱</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Style w:val="224"/>
                <w:rFonts w:hint="eastAsia" w:ascii="宋体" w:hAnsi="宋体" w:eastAsia="宋体" w:cs="宋体"/>
                <w:sz w:val="18"/>
                <w:szCs w:val="18"/>
                <w:lang w:val="en-US" w:eastAsia="zh-CN" w:bidi="ar"/>
              </w:rPr>
              <w:t>32路网络硬盘录像机</w:t>
            </w:r>
          </w:p>
        </w:tc>
        <w:tc>
          <w:tcPr>
            <w:tcW w:w="296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1.支持设置图案密码，用户通过绘制图案来解锁并登录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2.支持视频摘要回放功能：将不同时间段的多个目标叠加在一个背景上同时回放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3.可对视频画面叠加10行字符，每行可输入22个汉字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4.支持缩略图,拖动回放时间进度条，在回放控制条上显示当前拖动时间点的缩略图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5.可支持最大接入总带宽320Mbps的32路H.265编码、1080p格式的视频图像；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6.支持对任一录像进行添加自定义标签，单个文件最大支持196个标签，最大可以打4096个标签；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7.支持触控式面板，通过面板按键可进行预览、回放、参数配置等操作；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8.支持报警输入触发一键撤防功能，撤防的报警类型可选（弹出报警画面、声音警告、上传中心、发送邮件、触发报警输出）；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9.支持2组4屏显示输出，每组包含HDMI和VGA各一个，同一组内为同源输出，两组之间可异源输出视频图像，并可分别控制进行预览、回放、配置等操作；支持36/32/25/16/9/8/6/4/1分屏预览；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10.支持带有越界、区域入侵、进入/离开区域、人员聚集、快速移动、物品遗留/拿取、停车、徘徊、场景变更、虚焦、音频异常报警、PIR报警功能的网络摄像机接入与相关报警联动功能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11.支持录像打包时间1-300分钟可设置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12.支持双码流同时录像；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13.支持1/8、1/4、1/2、1、2、4、8、16、32、64、128、256等倍速回放录像，支持录像回放的剪辑和回放截图功能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14.支持8个SATA接口，1个eSATA接口，至少支持2个USB2.0，1个USB3.0接口；支持16路报警输入，8路报警输出接口</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监控硬盘(4T)</w:t>
            </w:r>
          </w:p>
        </w:tc>
        <w:tc>
          <w:tcPr>
            <w:tcW w:w="29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4T</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32寸液晶显示屏</w:t>
            </w:r>
          </w:p>
        </w:tc>
        <w:tc>
          <w:tcPr>
            <w:tcW w:w="29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32英寸LED显示屏，显示器分辨率1920×1080，显示比例16:9，对比度5,000:1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LCD监视器外观设计美观，实用，安全。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无故障工作时长不小于20万小时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防护等级不低于IP5X</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采用专业FPGA图像处理芯片，支持7个等级的去雾强度设置，用户可根据不同场景选择不同等级；采用自动去雾等级设置功能，设备可以根据当前场景自动匹配选择去雾参数设置；支持支持3个夜景模式选择，使光线较暗场景的图像亮度得到改善。</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LCD监视器可选配内置解码引擎，采用ARM+DSP嵌入式构架，支持直接IPC取流解码显示；支持轮巡解码、流媒体功能，可1/4/9/16分屏显示；支持H264、MJPEG、MPEG4解码显示。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支持定时开关机，为了满足特定用户非7x24小时使用LCD显示大屏的特定需求，可自定义按周绘制开关机时间段，或手动输入开关机时间点两种定时设置方式；软关机记忆，大屏显示单元在断电前处于待机状态，下一次上电后，仍然处于待机状态，方便控制平台集中控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支持全接口环通，支持BNC、VGA、DVI、SDI等接口的环通，支持选配DP（4K）接口，支持BNC、VGA、DVI、HDMI、SDI、DP（4K）六种信的环通显示；内置拼接处理引擎，配合环通接口，无需外设拼接控制器可实现无限拼接显示，满足小型或者基本功能的拼接需求，使成本投入最小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LCD监视器支持将实时画面的一帧定格持续显示，满足用户特定情况下的细节观察，静止查看。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LCD可选配显示单元通过光控模块，实现根据环境光线强弱自动调整大屏显示亮度，使显示效果保持在最优状态，同时实现节约能源。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支持3D降噪和空间降噪相结合，实现保证帧内图像平滑，运动图像前后帧之间图像平滑，有效降低噪声对图像质量的影响；3D梳状滤波消除动态视频图像的边缘锯齿，图像更加清晰、细腻，大幅提高动态视频的画质，图像画面真实流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LCD监视器可将输入的非50Hz/60Hz的图像转换成60Hz输出，彻底解决由于低帧率造成的画面卡顿感，使图像显示相比低帧率的图像更平滑顺畅。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通过遥控器操作可直接显示LCD监视器ID，信源类型，分辨率，系统运行时间，软件版本，温度等信息；自动检测IP冲突和断网检测，并在大屏显示提示信息；提示并显示风扇工作状态异常报警，温度异常报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LCD监视器支持U盘点播，内置MPEG、JPEG和RealMedia解码器，方便用户播放视频文件。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LCD监视器为了使非标准分辨率的视频也可以全屏完美的显示，支持边缘屏蔽功能，智能去除黑边功能，可消除显示终端上存在的黑边，及因拼缝带来的图像变形。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LCD采用双CPU+多个协处理器核的构架;双CPU负责通讯、色彩调整及模块控制等控制功能；3个DSP核+1个FPGA核负责图像数据的处理，分工明确保证系统稳定性和实时性，使图像处理更加游刃有余；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LCD监视器支持智能温度控制，可选择智能模式或全速模式；智能模式由设备自动控制风扇，根据设备运行温度来控制风扇的启停及转速；全速模式下风扇全速运转为设备散热。</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22U网络机柜</w:t>
            </w:r>
          </w:p>
        </w:tc>
        <w:tc>
          <w:tcPr>
            <w:tcW w:w="29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黑色，前后均为网孔门，宽度600mm，深度600mm，高度1200mm，厚度:方孔条1.2mm以上，其他0.8mm以上，灰色钢化玻璃5mm</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PDU插座</w:t>
            </w:r>
          </w:p>
        </w:tc>
        <w:tc>
          <w:tcPr>
            <w:tcW w:w="29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8孔PDU国标插座</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24口千兆交换机</w:t>
            </w:r>
          </w:p>
        </w:tc>
        <w:tc>
          <w:tcPr>
            <w:tcW w:w="29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二层千兆交换机，固定千兆端口数&gt;=24个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交换容量&gt;=48Gbps，包转发速率&gt;=35.7Mpps</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符合IEEE 802.3 10Base-T，IEEE 802.3u 100Base-TX，IEEE802.3x和IEEE802.3ab 1000Base-T标准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全线速的二层千兆交换能力，保证所有端口无阻塞进行报文转发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支持MDI/MDIX自适应功能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采用存储转发的交换机制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采用共享缓存架构，每个端口可利用的缓存空间扩大数倍，可大大增强突发大流量的转发性能；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为保证全网兼容性，要求网络设备必须为同一品牌</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网络跳线</w:t>
            </w:r>
          </w:p>
        </w:tc>
        <w:tc>
          <w:tcPr>
            <w:tcW w:w="29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采用超五类类多股非屏蔽阻燃线缆和RJ45水晶头制做而成</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线材及辅材</w:t>
            </w:r>
          </w:p>
        </w:tc>
        <w:tc>
          <w:tcPr>
            <w:tcW w:w="29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超五类非屏蔽双绞线</w:t>
            </w:r>
          </w:p>
        </w:tc>
        <w:tc>
          <w:tcPr>
            <w:tcW w:w="296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芯线规格：23 AWG实芯裸铜导体,芯线直径：≥0.50mm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芯线对数：4对，每芯带有彩色编码护套；产品直径：≥ф0.50mm；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跳线尾部采用模具注塑的尾套，以保证产品可靠性；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带宽：≥150 MHz，特性阻抗：100Ω；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产品标准：YD/T 1019-2001、TIA/EIA-568B2.1-2001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支持多彩布线，不同颜色区分内网、监控网系统等</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箱</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电源线缆(摄像机)</w:t>
            </w:r>
          </w:p>
        </w:tc>
        <w:tc>
          <w:tcPr>
            <w:tcW w:w="296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RVV3*1.0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电源线缆（市电）</w:t>
            </w:r>
          </w:p>
        </w:tc>
        <w:tc>
          <w:tcPr>
            <w:tcW w:w="296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RVV2*2.5</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接地装置</w:t>
            </w:r>
          </w:p>
        </w:tc>
        <w:tc>
          <w:tcPr>
            <w:tcW w:w="296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下地1.5--2米防雷铜杆接地，保护地线可沿穿线地沟敷设，焊接到每个钢管立杆的地脚螺栓上与杆件、机柜有效对接，焊接处应刷沥青防腐。</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PVC管</w:t>
            </w:r>
          </w:p>
        </w:tc>
        <w:tc>
          <w:tcPr>
            <w:tcW w:w="296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φ20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2"/>
                <w:sz w:val="18"/>
                <w:szCs w:val="18"/>
                <w:u w:val="none"/>
                <w:lang w:val="en-US" w:eastAsia="zh-CN" w:bidi="ar-SA"/>
              </w:rPr>
              <w:t>四</w:t>
            </w: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0"/>
                <w:sz w:val="18"/>
                <w:szCs w:val="18"/>
                <w:u w:val="none"/>
                <w:lang w:val="en-US" w:eastAsia="zh-CN" w:bidi="ar"/>
              </w:rPr>
              <w:t>系统设备安装、调试费</w:t>
            </w:r>
          </w:p>
        </w:tc>
        <w:tc>
          <w:tcPr>
            <w:tcW w:w="29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kern w:val="2"/>
                <w:sz w:val="18"/>
                <w:szCs w:val="18"/>
                <w:u w:val="none"/>
                <w:lang w:val="en-US" w:eastAsia="zh-CN" w:bidi="ar-SA"/>
              </w:rPr>
            </w:pPr>
            <w:bookmarkStart w:id="15" w:name="_GoBack"/>
            <w:bookmarkEnd w:id="15"/>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kern w:val="2"/>
                <w:sz w:val="18"/>
                <w:szCs w:val="18"/>
                <w:u w:val="none"/>
                <w:lang w:val="en-US" w:eastAsia="zh-CN" w:bidi="ar-SA"/>
              </w:rPr>
            </w:pP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kern w:val="2"/>
                <w:sz w:val="18"/>
                <w:szCs w:val="18"/>
                <w:u w:val="none"/>
                <w:lang w:val="en-US" w:eastAsia="zh-CN" w:bidi="ar-SA"/>
              </w:rPr>
            </w:pP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jc w:val="center"/>
        </w:trPr>
        <w:tc>
          <w:tcPr>
            <w:tcW w:w="233"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8"/>
                <w:szCs w:val="18"/>
                <w:u w:val="none"/>
              </w:rPr>
            </w:pPr>
          </w:p>
        </w:tc>
        <w:tc>
          <w:tcPr>
            <w:tcW w:w="110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总计</w:t>
            </w:r>
          </w:p>
        </w:tc>
        <w:tc>
          <w:tcPr>
            <w:tcW w:w="296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bCs/>
                <w:i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b/>
                <w:bCs/>
                <w:i w:val="0"/>
                <w:color w:val="000000"/>
                <w:sz w:val="18"/>
                <w:szCs w:val="18"/>
                <w:u w:val="none"/>
              </w:rPr>
            </w:pPr>
          </w:p>
        </w:tc>
        <w:tc>
          <w:tcPr>
            <w:tcW w:w="23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b/>
                <w:bCs/>
                <w:i w:val="0"/>
                <w:color w:val="000000"/>
                <w:sz w:val="18"/>
                <w:szCs w:val="18"/>
                <w:u w:val="none"/>
              </w:rPr>
            </w:pPr>
          </w:p>
        </w:tc>
      </w:tr>
    </w:tbl>
    <w:p>
      <w:pPr>
        <w:rPr>
          <w:rFonts w:hint="eastAsia"/>
        </w:rPr>
      </w:pPr>
    </w:p>
    <w:p>
      <w:pPr>
        <w:widowControl/>
        <w:shd w:val="clear" w:color="auto" w:fill="FFFFFF"/>
        <w:spacing w:line="360" w:lineRule="auto"/>
        <w:jc w:val="left"/>
        <w:rPr>
          <w:rFonts w:ascii="宋体" w:hAnsi="宋体" w:eastAsia="宋体" w:cs="宋体"/>
          <w:kern w:val="0"/>
          <w:sz w:val="24"/>
          <w:szCs w:val="24"/>
        </w:rPr>
      </w:pPr>
    </w:p>
    <w:p>
      <w:pPr>
        <w:rPr>
          <w:rFonts w:hint="eastAsia" w:ascii="宋体" w:hAnsi="宋体" w:eastAsia="宋体" w:cs="宋体"/>
          <w:kern w:val="0"/>
          <w:sz w:val="24"/>
          <w:szCs w:val="24"/>
          <w:lang w:val="en-US" w:eastAsia="zh-CN" w:bidi="ar-SA"/>
        </w:rPr>
      </w:pPr>
      <w:bookmarkStart w:id="5" w:name="_Toc14354"/>
      <w:r>
        <w:rPr>
          <w:rFonts w:hint="eastAsia" w:ascii="宋体" w:hAnsi="宋体" w:eastAsia="宋体" w:cs="宋体"/>
          <w:kern w:val="0"/>
          <w:sz w:val="24"/>
          <w:szCs w:val="24"/>
          <w:lang w:val="en-US" w:eastAsia="zh-CN" w:bidi="ar-SA"/>
        </w:rPr>
        <w:t>1、以上货物数量为暂订量，实际数量以采购方实际需求为准。</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以上报价包括货物的运输费（送至指定地点）、装卸费、抽样检测费（包括采购人组织的随机抽检）、免费仓储保管、税费｛中标人提供的增值税专用发票（若国家政策法规另有规定的，按新规定执行），一票结算｝等相关费用。</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3、以上货物报价含配件。</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4、货物质量要求：合格</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5、产品需提交产品合格证、出厂检验报告及第三方国家权威机构检验检测报告。</w:t>
      </w:r>
    </w:p>
    <w:p>
      <w:pP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6、配件不另计费，配件数量以实际需求为准。</w:t>
      </w:r>
    </w:p>
    <w:p>
      <w:r>
        <w:rPr>
          <w:rFonts w:hint="eastAsia" w:ascii="宋体" w:hAnsi="宋体" w:eastAsia="宋体" w:cs="宋体"/>
          <w:kern w:val="0"/>
          <w:sz w:val="24"/>
          <w:szCs w:val="24"/>
          <w:lang w:val="en-US" w:eastAsia="zh-CN" w:bidi="ar-SA"/>
        </w:rPr>
        <w:t>7、投标方须保障供应的货物、服务及其他任何部分不受到第三方关于侵犯专利权、商标或工业设计的指控。任何第三方如果提出侵权指控，投标方须与第三方交涉并承担由此而引起的一切法律责任和费用。如在合同签订履行过程中，发标人受到相关利益方的干涉（诸如专利权人声明，律师函等），中标人又无法提供充足证据，发标人有权解除合同或者与其他方签订采购合同。</w:t>
      </w:r>
      <w:r>
        <w:br w:type="page"/>
      </w:r>
    </w:p>
    <w:p/>
    <w:p>
      <w:pPr>
        <w:pStyle w:val="3"/>
      </w:pPr>
      <w:r>
        <w:t>三、商务条件（以下内容不允许负偏离）</w:t>
      </w:r>
    </w:p>
    <w:p>
      <w:pPr>
        <w:pStyle w:val="15"/>
        <w:keepNext w:val="0"/>
        <w:keepLines w:val="0"/>
        <w:widowControl/>
        <w:suppressLineNumbers w:val="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包：1</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 xml:space="preserve">1、交付地点：沙县南霞乡 </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2、交付时间：供货周期在收到施工总承包单位提供的材料数量表15日之内到达施工单位指定的收货地点。</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3、交付条件：验收合格双方签字确认，视为交货完成</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4、是否收取履约保证金：否</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5、是否邀请投标人参与验收：否</w:t>
      </w:r>
      <w:r>
        <w:rPr>
          <w:rFonts w:hint="eastAsia" w:ascii="宋体" w:hAnsi="宋体" w:eastAsia="宋体" w:cs="宋体"/>
          <w:kern w:val="0"/>
          <w:sz w:val="24"/>
          <w:szCs w:val="24"/>
          <w:lang w:val="en-US" w:eastAsia="zh-CN" w:bidi="ar-SA"/>
        </w:rPr>
        <w:br w:type="textWrapping"/>
      </w:r>
      <w:r>
        <w:rPr>
          <w:rFonts w:hint="eastAsia" w:ascii="宋体" w:hAnsi="宋体" w:eastAsia="宋体" w:cs="宋体"/>
          <w:kern w:val="0"/>
          <w:sz w:val="24"/>
          <w:szCs w:val="24"/>
          <w:lang w:val="en-US" w:eastAsia="zh-CN" w:bidi="ar-SA"/>
        </w:rPr>
        <w:t xml:space="preserve">6、验收方式数据表格 </w:t>
      </w:r>
    </w:p>
    <w:tbl>
      <w:tblPr>
        <w:tblStyle w:val="1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验收合格并经双方签字确认视为最终交付</w:t>
            </w:r>
          </w:p>
        </w:tc>
      </w:tr>
    </w:tbl>
    <w:p>
      <w:pPr>
        <w:pStyle w:val="15"/>
        <w:keepNext w:val="0"/>
        <w:keepLines w:val="0"/>
        <w:widowControl/>
        <w:suppressLineNumbers w:val="0"/>
      </w:pPr>
      <w:r>
        <w:rPr>
          <w:rStyle w:val="19"/>
        </w:rPr>
        <w:t xml:space="preserve">7、支付方式数据表格 </w:t>
      </w:r>
    </w:p>
    <w:tbl>
      <w:tblPr>
        <w:tblStyle w:val="16"/>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6"/>
        <w:gridCol w:w="1666"/>
        <w:gridCol w:w="50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999"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w:t>
            </w:r>
          </w:p>
        </w:tc>
        <w:tc>
          <w:tcPr>
            <w:tcW w:w="999"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eastAsiaTheme="minorEastAsia"/>
                <w:lang w:val="en-US" w:eastAsia="zh-CN"/>
              </w:rPr>
            </w:pPr>
            <w:r>
              <w:rPr>
                <w:rFonts w:hint="eastAsia"/>
                <w:lang w:val="en-US" w:eastAsia="zh-CN"/>
              </w:rPr>
              <w:t>95</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hint="eastAsia" w:ascii="宋体" w:hAnsi="宋体" w:eastAsia="宋体" w:cs="宋体"/>
                <w:kern w:val="0"/>
                <w:sz w:val="24"/>
                <w:szCs w:val="24"/>
                <w:lang w:val="en-US" w:eastAsia="zh-CN"/>
              </w:rPr>
              <w:t xml:space="preserve"> 招标人按中标人开具的全额增值税专用发票（若国家政策法规另有规定的，按新规定执行）金额的95%支付已完成并经验收合格的货款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ascii="宋体" w:hAnsi="宋体" w:eastAsia="宋体" w:cs="宋体"/>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default" w:eastAsiaTheme="minorEastAsia"/>
                <w:lang w:val="en-US" w:eastAsia="zh-CN"/>
              </w:rPr>
            </w:pPr>
            <w:r>
              <w:rPr>
                <w:rFonts w:hint="eastAsia"/>
                <w:lang w:val="en-US" w:eastAsia="zh-CN"/>
              </w:rPr>
              <w:t>5</w:t>
            </w:r>
          </w:p>
        </w:tc>
        <w:tc>
          <w:tcPr>
            <w:tcW w:w="0" w:type="auto"/>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pPr>
            <w:r>
              <w:rPr>
                <w:rFonts w:hint="eastAsia" w:ascii="宋体" w:hAnsi="宋体" w:eastAsia="宋体" w:cs="宋体"/>
                <w:kern w:val="0"/>
                <w:sz w:val="24"/>
                <w:szCs w:val="24"/>
                <w:lang w:val="en-US" w:eastAsia="zh-CN"/>
              </w:rPr>
              <w:t>5%余款作为质保金在材料验收合格之日起至中标人承诺的质保期满后的10个工作日内付清余款</w:t>
            </w:r>
          </w:p>
        </w:tc>
      </w:tr>
    </w:tbl>
    <w:p>
      <w:pPr>
        <w:pStyle w:val="15"/>
        <w:keepNext w:val="0"/>
        <w:keepLines w:val="0"/>
        <w:widowControl/>
        <w:suppressLineNumbers w:val="0"/>
        <w:rPr>
          <w:rFonts w:hint="eastAsia" w:ascii="宋体" w:hAnsi="宋体" w:eastAsia="宋体" w:cs="宋体"/>
          <w:kern w:val="0"/>
          <w:sz w:val="24"/>
          <w:szCs w:val="24"/>
          <w:lang w:val="en-US" w:eastAsia="zh-CN" w:bidi="ar-SA"/>
        </w:rPr>
      </w:pPr>
    </w:p>
    <w:p>
      <w:pPr>
        <w:pStyle w:val="15"/>
        <w:keepNext w:val="0"/>
        <w:keepLines w:val="0"/>
        <w:widowControl/>
        <w:suppressLineNumbers w:val="0"/>
        <w:rPr>
          <w:rFonts w:hint="eastAsia" w:ascii="宋体" w:hAnsi="宋体" w:eastAsia="宋体" w:cs="宋体"/>
          <w:kern w:val="0"/>
          <w:sz w:val="24"/>
          <w:szCs w:val="24"/>
          <w:lang w:val="en-US" w:eastAsia="zh-CN" w:bidi="ar-SA"/>
        </w:rPr>
      </w:pPr>
    </w:p>
    <w:p>
      <w:pPr>
        <w:keepNext w:val="0"/>
        <w:keepLines w:val="0"/>
        <w:pageBreakBefore w:val="0"/>
        <w:widowControl w:val="0"/>
        <w:tabs>
          <w:tab w:val="left" w:pos="420"/>
          <w:tab w:val="left" w:pos="945"/>
        </w:tabs>
        <w:kinsoku/>
        <w:wordWrap/>
        <w:overflowPunct/>
        <w:topLinePunct w:val="0"/>
        <w:autoSpaceDE/>
        <w:autoSpaceDN/>
        <w:bidi w:val="0"/>
        <w:adjustRightInd/>
        <w:snapToGrid/>
        <w:spacing w:line="520" w:lineRule="exact"/>
        <w:textAlignment w:val="auto"/>
        <w:rPr>
          <w:rFonts w:hint="eastAsia" w:ascii="宋体" w:hAnsi="宋体" w:eastAsia="宋体" w:cs="宋体"/>
          <w:b/>
          <w:bCs/>
          <w:color w:val="auto"/>
          <w:sz w:val="24"/>
        </w:rPr>
      </w:pPr>
      <w:r>
        <w:rPr>
          <w:rFonts w:hint="eastAsia" w:ascii="宋体" w:hAnsi="宋体" w:eastAsia="宋体" w:cs="宋体"/>
          <w:b/>
          <w:bCs/>
          <w:color w:val="auto"/>
          <w:sz w:val="24"/>
        </w:rPr>
        <w:t>报价说明：</w:t>
      </w:r>
    </w:p>
    <w:p>
      <w:pPr>
        <w:tabs>
          <w:tab w:val="left" w:pos="420"/>
          <w:tab w:val="left" w:pos="945"/>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1、投标方可以根据自身的资格条件进行投标。</w:t>
      </w:r>
    </w:p>
    <w:p>
      <w:pPr>
        <w:tabs>
          <w:tab w:val="left" w:pos="420"/>
          <w:tab w:val="left" w:pos="945"/>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2、投标方应按本招标文件的要求及第五部分开标一览表的格式内容进行报价。</w:t>
      </w:r>
    </w:p>
    <w:p>
      <w:pPr>
        <w:tabs>
          <w:tab w:val="left" w:pos="420"/>
          <w:tab w:val="left" w:pos="945"/>
        </w:tabs>
        <w:spacing w:line="44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rPr>
        <w:t>3、</w:t>
      </w:r>
      <w:r>
        <w:rPr>
          <w:rFonts w:hint="eastAsia" w:ascii="宋体" w:hAnsi="宋体" w:eastAsia="宋体" w:cs="宋体"/>
          <w:b/>
          <w:bCs/>
          <w:color w:val="auto"/>
          <w:sz w:val="24"/>
        </w:rPr>
        <w:t>本次报价为一次性包干价，包括中标服务费、增值税费（若国家政策法规另有规定的，按新规定执行）、检测费以及运输费、装卸费、抽样检测费、保险费等一切费用。</w:t>
      </w:r>
    </w:p>
    <w:p>
      <w:pPr>
        <w:tabs>
          <w:tab w:val="center" w:pos="900"/>
          <w:tab w:val="center" w:pos="1080"/>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b/>
          <w:color w:val="auto"/>
          <w:sz w:val="24"/>
        </w:rPr>
        <w:t>投标人报价总价或单价超过招标人设置的总价最高限价及各单项最高限价的为无效报价，其投标按无效标处理</w:t>
      </w:r>
      <w:r>
        <w:rPr>
          <w:rFonts w:hint="eastAsia" w:ascii="宋体" w:hAnsi="宋体" w:eastAsia="宋体" w:cs="宋体"/>
          <w:color w:val="auto"/>
          <w:sz w:val="24"/>
        </w:rPr>
        <w:t>。</w:t>
      </w:r>
    </w:p>
    <w:p>
      <w:pPr>
        <w:tabs>
          <w:tab w:val="center" w:pos="900"/>
          <w:tab w:val="center" w:pos="1080"/>
        </w:tabs>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5、未中标人和中标人的投标保证金均于</w:t>
      </w:r>
      <w:r>
        <w:rPr>
          <w:rFonts w:hint="eastAsia" w:ascii="宋体" w:hAnsi="宋体" w:eastAsia="宋体" w:cs="宋体"/>
          <w:b/>
          <w:color w:val="auto"/>
          <w:sz w:val="24"/>
        </w:rPr>
        <w:t>招标人与中标人签订合同</w:t>
      </w:r>
      <w:r>
        <w:rPr>
          <w:rFonts w:hint="eastAsia" w:ascii="宋体" w:hAnsi="宋体" w:eastAsia="宋体" w:cs="宋体"/>
          <w:color w:val="auto"/>
          <w:sz w:val="24"/>
        </w:rPr>
        <w:t>后五个工作日内退还；中标人的投标保证金在中标后投标保证金自动转为履约保证金。</w:t>
      </w:r>
    </w:p>
    <w:p>
      <w:pPr>
        <w:spacing w:line="320" w:lineRule="exact"/>
        <w:rPr>
          <w:rFonts w:hint="eastAsia" w:ascii="宋体" w:hAnsi="宋体" w:eastAsia="宋体" w:cs="宋体"/>
          <w:b/>
          <w:color w:val="auto"/>
          <w:sz w:val="24"/>
        </w:rPr>
      </w:pPr>
      <w:r>
        <w:rPr>
          <w:rFonts w:hint="eastAsia" w:ascii="宋体" w:hAnsi="宋体" w:eastAsia="宋体" w:cs="宋体"/>
          <w:b/>
          <w:color w:val="auto"/>
          <w:sz w:val="24"/>
          <w:lang w:val="en-US" w:eastAsia="zh-CN"/>
        </w:rPr>
        <w:t>一</w:t>
      </w:r>
      <w:r>
        <w:rPr>
          <w:rFonts w:hint="eastAsia" w:ascii="宋体" w:hAnsi="宋体" w:eastAsia="宋体" w:cs="宋体"/>
          <w:b/>
          <w:color w:val="auto"/>
          <w:sz w:val="24"/>
        </w:rPr>
        <w:t>、产品要求</w:t>
      </w:r>
    </w:p>
    <w:p>
      <w:pPr>
        <w:tabs>
          <w:tab w:val="left" w:pos="-180"/>
        </w:tabs>
        <w:spacing w:line="400" w:lineRule="exact"/>
        <w:ind w:firstLine="482" w:firstLineChars="200"/>
        <w:rPr>
          <w:rFonts w:hint="eastAsia" w:ascii="宋体" w:hAnsi="宋体" w:eastAsia="宋体" w:cs="宋体"/>
          <w:color w:val="auto"/>
          <w:sz w:val="24"/>
        </w:rPr>
      </w:pPr>
      <w:r>
        <w:rPr>
          <w:rFonts w:hint="eastAsia" w:ascii="宋体" w:hAnsi="宋体" w:eastAsia="宋体" w:cs="宋体"/>
          <w:b/>
          <w:color w:val="auto"/>
          <w:sz w:val="24"/>
          <w:u w:val="double"/>
        </w:rPr>
        <w:t>投标人所提供的货物应符合或高于国家及行业标准的相关规定，所有货物均应有合格证和质保书出厂检验报告</w:t>
      </w:r>
      <w:r>
        <w:rPr>
          <w:rFonts w:hint="eastAsia" w:ascii="宋体" w:hAnsi="宋体" w:eastAsia="宋体" w:cs="宋体"/>
          <w:color w:val="auto"/>
          <w:sz w:val="24"/>
        </w:rPr>
        <w:t>，并且须经招标人委托的市级以上具有相应资质的检测机构检测合格，然后报招标人批准后才能使用，否则招标人有权拒付此部分材料价款。当中标人选定的材料质量达不到预期质量目标要求时，招标人有权取消其中标资格。若使用劣质材料施工，一经发现，招标人有权制止使用，直至停工、返工或单方解除合同。无论招标人是否发现和制止，由于使用劣质材料施工所引起的一切责任及所发生的一切费用经招标人确认后，均由中标人自负。</w:t>
      </w:r>
    </w:p>
    <w:p>
      <w:pPr>
        <w:spacing w:line="400" w:lineRule="exact"/>
        <w:rPr>
          <w:rFonts w:hint="eastAsia" w:ascii="宋体" w:hAnsi="宋体" w:eastAsia="宋体" w:cs="宋体"/>
          <w:b/>
          <w:color w:val="auto"/>
          <w:sz w:val="24"/>
        </w:rPr>
      </w:pPr>
      <w:r>
        <w:rPr>
          <w:rFonts w:hint="eastAsia" w:ascii="宋体" w:hAnsi="宋体" w:eastAsia="宋体" w:cs="宋体"/>
          <w:b/>
          <w:color w:val="auto"/>
          <w:sz w:val="24"/>
          <w:lang w:val="en-US" w:eastAsia="zh-CN"/>
        </w:rPr>
        <w:t>二</w:t>
      </w:r>
      <w:r>
        <w:rPr>
          <w:rFonts w:hint="eastAsia" w:ascii="宋体" w:hAnsi="宋体" w:eastAsia="宋体" w:cs="宋体"/>
          <w:b/>
          <w:color w:val="auto"/>
          <w:sz w:val="24"/>
        </w:rPr>
        <w:t>、验收标准</w:t>
      </w:r>
    </w:p>
    <w:p>
      <w:pPr>
        <w:tabs>
          <w:tab w:val="left" w:pos="1200"/>
        </w:tabs>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产品按国家及行业标准的相关规定验收，由中标人和招标人共同完成。中标人在验收前必须向招标人提供产品合格证、产品验收证/单、保修卡等资料。</w:t>
      </w:r>
    </w:p>
    <w:p>
      <w:pPr>
        <w:numPr>
          <w:ilvl w:val="0"/>
          <w:numId w:val="3"/>
        </w:numPr>
        <w:spacing w:line="400" w:lineRule="exact"/>
        <w:ind w:left="0" w:firstLine="540"/>
        <w:rPr>
          <w:rFonts w:hint="eastAsia" w:ascii="宋体" w:hAnsi="宋体" w:eastAsia="宋体" w:cs="宋体"/>
          <w:color w:val="auto"/>
          <w:sz w:val="24"/>
        </w:rPr>
      </w:pPr>
      <w:r>
        <w:rPr>
          <w:rFonts w:hint="eastAsia" w:ascii="宋体" w:hAnsi="宋体" w:eastAsia="宋体" w:cs="宋体"/>
          <w:color w:val="auto"/>
          <w:sz w:val="24"/>
        </w:rPr>
        <w:t>验收规则</w:t>
      </w:r>
    </w:p>
    <w:p>
      <w:pPr>
        <w:numPr>
          <w:ilvl w:val="0"/>
          <w:numId w:val="4"/>
        </w:numPr>
        <w:tabs>
          <w:tab w:val="left" w:pos="-180"/>
          <w:tab w:val="clear" w:pos="360"/>
        </w:tabs>
        <w:spacing w:line="400" w:lineRule="exact"/>
        <w:ind w:left="0" w:firstLine="540"/>
        <w:rPr>
          <w:rFonts w:hint="eastAsia" w:ascii="宋体" w:hAnsi="宋体" w:eastAsia="宋体" w:cs="宋体"/>
          <w:color w:val="auto"/>
          <w:sz w:val="24"/>
        </w:rPr>
      </w:pPr>
      <w:r>
        <w:rPr>
          <w:rFonts w:hint="eastAsia" w:ascii="宋体" w:hAnsi="宋体" w:eastAsia="宋体" w:cs="宋体"/>
          <w:color w:val="auto"/>
          <w:sz w:val="24"/>
        </w:rPr>
        <w:t>验收标准：所有产品均按国家及行业标准的相关规定、本采购文件、谈判文件及投标样品相关内容进行验收。</w:t>
      </w:r>
    </w:p>
    <w:p>
      <w:pPr>
        <w:numPr>
          <w:ilvl w:val="0"/>
          <w:numId w:val="4"/>
        </w:numPr>
        <w:tabs>
          <w:tab w:val="left" w:pos="0"/>
        </w:tabs>
        <w:spacing w:line="400" w:lineRule="exact"/>
        <w:ind w:left="0" w:firstLine="540"/>
        <w:rPr>
          <w:rFonts w:hint="eastAsia" w:ascii="宋体" w:hAnsi="宋体" w:eastAsia="宋体" w:cs="宋体"/>
          <w:color w:val="auto"/>
          <w:sz w:val="24"/>
        </w:rPr>
      </w:pPr>
      <w:r>
        <w:rPr>
          <w:rFonts w:hint="eastAsia" w:ascii="宋体" w:hAnsi="宋体" w:eastAsia="宋体" w:cs="宋体"/>
          <w:color w:val="auto"/>
          <w:sz w:val="24"/>
        </w:rPr>
        <w:t>验收程序如下：</w:t>
      </w:r>
    </w:p>
    <w:p>
      <w:pPr>
        <w:numPr>
          <w:ilvl w:val="0"/>
          <w:numId w:val="5"/>
        </w:numPr>
        <w:tabs>
          <w:tab w:val="left" w:pos="0"/>
          <w:tab w:val="clear" w:pos="360"/>
        </w:tabs>
        <w:spacing w:line="400" w:lineRule="exact"/>
        <w:ind w:left="0" w:firstLine="540"/>
        <w:rPr>
          <w:rFonts w:hint="eastAsia" w:ascii="宋体" w:hAnsi="宋体" w:eastAsia="宋体" w:cs="宋体"/>
          <w:color w:val="auto"/>
          <w:sz w:val="24"/>
        </w:rPr>
      </w:pPr>
      <w:r>
        <w:rPr>
          <w:rFonts w:hint="eastAsia" w:ascii="宋体" w:hAnsi="宋体" w:eastAsia="宋体" w:cs="宋体"/>
          <w:color w:val="auto"/>
          <w:sz w:val="24"/>
        </w:rPr>
        <w:t>出厂检验：中标人在产品出厂前，应按产品技术标准规定的检验项目和试验方法进行全面检验。中标人应随同产品出具原产地证书、出厂检验报告及产品质量合格证等，结果必须符合前款验收标准的要求。</w:t>
      </w:r>
    </w:p>
    <w:p>
      <w:pPr>
        <w:numPr>
          <w:ilvl w:val="0"/>
          <w:numId w:val="5"/>
        </w:numPr>
        <w:tabs>
          <w:tab w:val="left" w:pos="0"/>
          <w:tab w:val="clear" w:pos="360"/>
        </w:tabs>
        <w:spacing w:line="400" w:lineRule="exact"/>
        <w:ind w:left="0" w:firstLine="540"/>
        <w:rPr>
          <w:rFonts w:hint="eastAsia" w:ascii="宋体" w:hAnsi="宋体" w:eastAsia="宋体" w:cs="宋体"/>
          <w:color w:val="auto"/>
          <w:sz w:val="24"/>
        </w:rPr>
      </w:pPr>
      <w:r>
        <w:rPr>
          <w:rFonts w:hint="eastAsia" w:ascii="宋体" w:hAnsi="宋体" w:eastAsia="宋体" w:cs="宋体"/>
          <w:color w:val="auto"/>
          <w:sz w:val="24"/>
        </w:rPr>
        <w:t>最终验收：</w:t>
      </w:r>
      <w:r>
        <w:rPr>
          <w:rFonts w:hint="eastAsia" w:ascii="宋体" w:hAnsi="宋体" w:eastAsia="宋体" w:cs="宋体"/>
          <w:b/>
          <w:color w:val="auto"/>
          <w:sz w:val="24"/>
        </w:rPr>
        <w:t>验收时，中标人所供到场货物与投标文件响应性或投标样品不相符，招标人可要求退货，</w:t>
      </w:r>
      <w:r>
        <w:rPr>
          <w:rFonts w:hint="eastAsia" w:ascii="宋体" w:hAnsi="宋体" w:eastAsia="宋体" w:cs="宋体"/>
          <w:b/>
          <w:color w:val="auto"/>
          <w:sz w:val="24"/>
          <w:u w:val="single"/>
        </w:rPr>
        <w:t>招标人随机抽取各种样品送市级及以上第三方具有国家权威检测机构进行检测，抽检费用由中标人承担，若经检测质量不符合国家标准和招标文件规定的质量标准，招标人有权解除合同</w:t>
      </w:r>
      <w:r>
        <w:rPr>
          <w:rFonts w:hint="eastAsia" w:ascii="宋体" w:hAnsi="宋体" w:eastAsia="宋体" w:cs="宋体"/>
          <w:b/>
          <w:color w:val="auto"/>
          <w:sz w:val="24"/>
        </w:rPr>
        <w:t>，并由中标人承担招标人一切损失。（中标人应按招标人要求，在材料进场后自备齐全取样工具，于两日内完成取样送检工作，逾期将按本条“中标人若未在招标人约定的时间内提供合格货物，其履约保证金将被没收。”处理。</w:t>
      </w:r>
    </w:p>
    <w:p>
      <w:pPr>
        <w:spacing w:line="400" w:lineRule="exact"/>
        <w:ind w:firstLine="540"/>
        <w:rPr>
          <w:rFonts w:hint="eastAsia" w:ascii="宋体" w:hAnsi="宋体" w:eastAsia="宋体" w:cs="宋体"/>
          <w:color w:val="auto"/>
          <w:sz w:val="24"/>
        </w:rPr>
      </w:pPr>
      <w:r>
        <w:rPr>
          <w:rFonts w:hint="eastAsia" w:ascii="宋体" w:hAnsi="宋体" w:eastAsia="宋体" w:cs="宋体"/>
          <w:color w:val="auto"/>
          <w:sz w:val="24"/>
        </w:rPr>
        <w:t>3、验收费用：产品最终检验、验收过程的费用由中标人承担。</w:t>
      </w:r>
    </w:p>
    <w:p>
      <w:pPr>
        <w:tabs>
          <w:tab w:val="left" w:pos="540"/>
        </w:tabs>
        <w:adjustRightInd w:val="0"/>
        <w:snapToGrid w:val="0"/>
        <w:spacing w:line="400" w:lineRule="exact"/>
        <w:rPr>
          <w:rFonts w:hint="eastAsia" w:ascii="宋体" w:hAnsi="宋体" w:eastAsia="宋体" w:cs="宋体"/>
          <w:b/>
          <w:color w:val="auto"/>
          <w:sz w:val="24"/>
        </w:rPr>
      </w:pPr>
      <w:r>
        <w:rPr>
          <w:rFonts w:hint="eastAsia" w:ascii="宋体" w:hAnsi="宋体" w:eastAsia="宋体" w:cs="宋体"/>
          <w:b/>
          <w:color w:val="auto"/>
          <w:sz w:val="24"/>
          <w:lang w:val="en-US" w:eastAsia="zh-CN"/>
        </w:rPr>
        <w:t>三</w:t>
      </w:r>
      <w:r>
        <w:rPr>
          <w:rFonts w:hint="eastAsia" w:ascii="宋体" w:hAnsi="宋体" w:eastAsia="宋体" w:cs="宋体"/>
          <w:b/>
          <w:color w:val="auto"/>
          <w:sz w:val="24"/>
        </w:rPr>
        <w:t>、保修期及售后服务</w:t>
      </w:r>
    </w:p>
    <w:p>
      <w:pPr>
        <w:tabs>
          <w:tab w:val="left" w:pos="0"/>
          <w:tab w:val="left" w:pos="180"/>
        </w:tabs>
        <w:adjustRightInd w:val="0"/>
        <w:snapToGri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1、中标人对合同约定的货物提供</w:t>
      </w:r>
      <w:r>
        <w:rPr>
          <w:rFonts w:hint="eastAsia" w:ascii="宋体" w:hAnsi="宋体" w:eastAsia="宋体" w:cs="宋体"/>
          <w:b/>
          <w:color w:val="auto"/>
          <w:sz w:val="24"/>
        </w:rPr>
        <w:t>不低于</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年</w:t>
      </w:r>
      <w:r>
        <w:rPr>
          <w:rFonts w:hint="eastAsia" w:ascii="宋体" w:hAnsi="宋体" w:eastAsia="宋体" w:cs="宋体"/>
          <w:color w:val="auto"/>
          <w:sz w:val="24"/>
        </w:rPr>
        <w:t>免费保修（厂家或国家有更长质量保证期限规定的从其规定）和终身维护服务。质保期</w:t>
      </w:r>
      <w:r>
        <w:rPr>
          <w:rFonts w:hint="eastAsia" w:ascii="宋体" w:hAnsi="宋体" w:eastAsia="宋体" w:cs="宋体"/>
          <w:b/>
          <w:color w:val="auto"/>
          <w:sz w:val="24"/>
          <w:u w:val="single"/>
        </w:rPr>
        <w:t>从全部材料进场经验收合格之日起计算，</w:t>
      </w:r>
      <w:r>
        <w:rPr>
          <w:rFonts w:hint="eastAsia" w:ascii="宋体" w:hAnsi="宋体" w:eastAsia="宋体" w:cs="宋体"/>
          <w:color w:val="auto"/>
          <w:sz w:val="24"/>
        </w:rPr>
        <w:t>在质保期内出现问题，中标人应免费提供咨询、更换损坏的零件和维修服务。保修期内经修理后不能复原的货物，中标人必须免费予以更换，并赔偿应返工所造成的一切损失。</w:t>
      </w:r>
    </w:p>
    <w:p>
      <w:pPr>
        <w:tabs>
          <w:tab w:val="left" w:pos="0"/>
          <w:tab w:val="left" w:pos="180"/>
        </w:tabs>
        <w:adjustRightInd w:val="0"/>
        <w:snapToGri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2、中标人在施工阶段，应免费提供用于施工的专用设备，并派技术员进驻现场进行技术指导。</w:t>
      </w:r>
    </w:p>
    <w:p>
      <w:pPr>
        <w:tabs>
          <w:tab w:val="left" w:pos="0"/>
          <w:tab w:val="left" w:pos="180"/>
        </w:tabs>
        <w:adjustRightInd w:val="0"/>
        <w:snapToGrid w:val="0"/>
        <w:spacing w:line="40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中标人应具备相应的维护保养服务能力，包括拥有本次所出售货物的备件、专用设备和专业技术人员，对货物进行维护和修理。中标人须有属本公司的可随时上门作维修的技术人员，服务响应时间为4小时以内，对出现或存在的问题进行处理。维修人员在12个小时内不能排除故障时，为不影响买方的正常工作，中标人应负责使用替代货物。质保期从正式验收合格交付使用之日算起；在质保期内货物出现故障，中标人应免费提供咨询、更换损坏的零件和维修服务。</w:t>
      </w:r>
    </w:p>
    <w:p>
      <w:pPr>
        <w:adjustRightInd w:val="0"/>
        <w:snapToGrid w:val="0"/>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提供投标人在福建省或三明市内设立公司场所的相关证明材料，列明各投标货物厂家在福建省内的售后服务网点，列出投标人公司针对此项目的售后服务人员名单、维修受理联系电话等等相关资料。投标人可视自身能力在投标文件中提供更优、更合理的维修服务承诺。</w:t>
      </w:r>
    </w:p>
    <w:p>
      <w:pPr>
        <w:pStyle w:val="6"/>
        <w:snapToGrid w:val="0"/>
        <w:spacing w:line="360" w:lineRule="exact"/>
        <w:ind w:firstLine="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四</w:t>
      </w:r>
      <w:r>
        <w:rPr>
          <w:rFonts w:hint="eastAsia" w:ascii="宋体" w:hAnsi="宋体" w:eastAsia="宋体" w:cs="宋体"/>
          <w:b/>
          <w:color w:val="auto"/>
          <w:sz w:val="24"/>
          <w:szCs w:val="24"/>
        </w:rPr>
        <w:t>、投标样品</w:t>
      </w:r>
    </w:p>
    <w:p>
      <w:pPr>
        <w:pStyle w:val="6"/>
        <w:snapToGrid w:val="0"/>
        <w:spacing w:line="360" w:lineRule="exact"/>
        <w:ind w:firstLine="482" w:firstLineChars="200"/>
        <w:rPr>
          <w:rFonts w:hint="eastAsia" w:ascii="宋体" w:hAnsi="宋体" w:eastAsia="宋体" w:cs="宋体"/>
          <w:b/>
          <w:color w:val="auto"/>
          <w:sz w:val="24"/>
          <w:szCs w:val="24"/>
          <w:lang w:val="en-US" w:eastAsia="zh-CN"/>
        </w:rPr>
      </w:pPr>
      <w:r>
        <w:rPr>
          <w:rFonts w:hint="eastAsia" w:ascii="宋体" w:hAnsi="宋体" w:eastAsia="宋体" w:cs="宋体"/>
          <w:b/>
          <w:color w:val="FF0000"/>
          <w:sz w:val="24"/>
          <w:szCs w:val="24"/>
          <w:lang w:val="en-US" w:eastAsia="zh-CN"/>
        </w:rPr>
        <w:t>本项目无需提供样品</w:t>
      </w:r>
      <w:r>
        <w:rPr>
          <w:rFonts w:hint="eastAsia" w:ascii="宋体" w:hAnsi="宋体" w:eastAsia="宋体" w:cs="宋体"/>
          <w:b/>
          <w:color w:val="auto"/>
          <w:sz w:val="24"/>
          <w:szCs w:val="24"/>
          <w:lang w:val="en-US" w:eastAsia="zh-CN"/>
        </w:rPr>
        <w:t>。</w:t>
      </w:r>
    </w:p>
    <w:p>
      <w:pPr>
        <w:spacing w:line="400" w:lineRule="exact"/>
        <w:rPr>
          <w:rFonts w:hint="eastAsia" w:ascii="宋体" w:hAnsi="宋体" w:eastAsia="宋体" w:cs="宋体"/>
          <w:b/>
          <w:bCs/>
          <w:color w:val="auto"/>
          <w:sz w:val="24"/>
        </w:rPr>
      </w:pPr>
      <w:r>
        <w:rPr>
          <w:rFonts w:hint="eastAsia" w:ascii="宋体" w:hAnsi="宋体" w:eastAsia="宋体" w:cs="宋体"/>
          <w:b/>
          <w:bCs/>
          <w:color w:val="auto"/>
          <w:sz w:val="24"/>
          <w:lang w:val="en-US" w:eastAsia="zh-CN"/>
        </w:rPr>
        <w:t>五</w:t>
      </w:r>
      <w:r>
        <w:rPr>
          <w:rFonts w:hint="eastAsia" w:ascii="宋体" w:hAnsi="宋体" w:eastAsia="宋体" w:cs="宋体"/>
          <w:b/>
          <w:bCs/>
          <w:color w:val="auto"/>
          <w:sz w:val="24"/>
        </w:rPr>
        <w:t>、其他要求</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、投标人投标时应</w:t>
      </w:r>
      <w:r>
        <w:rPr>
          <w:rFonts w:hint="eastAsia" w:ascii="宋体" w:hAnsi="宋体" w:eastAsia="宋体" w:cs="宋体"/>
          <w:color w:val="auto"/>
          <w:sz w:val="24"/>
        </w:rPr>
        <w:t>提供完全能满足采购文件要求的货物，外表整洁、光滑、耐压等级、工艺及质量等均应</w:t>
      </w:r>
      <w:r>
        <w:rPr>
          <w:rFonts w:hint="eastAsia" w:ascii="宋体" w:hAnsi="宋体" w:eastAsia="宋体" w:cs="宋体"/>
          <w:b/>
          <w:color w:val="auto"/>
          <w:sz w:val="24"/>
        </w:rPr>
        <w:t>符合或高于国家及行业标准的相关规定</w:t>
      </w:r>
      <w:r>
        <w:rPr>
          <w:rFonts w:hint="eastAsia" w:ascii="宋体" w:hAnsi="宋体" w:eastAsia="宋体" w:cs="宋体"/>
          <w:color w:val="auto"/>
          <w:sz w:val="24"/>
        </w:rPr>
        <w:t xml:space="preserve">，不得以次充好。所有货物均不得使用再生原料和回收的旧原料，若经招标人发现货物有使用再生原料和回收的旧原料的，招标人将不予验收，招标人有权要求中标人更换符合要求的合格货物，并要求中标人承担相关的违约责任。     </w:t>
      </w:r>
    </w:p>
    <w:p>
      <w:pPr>
        <w:widowControl/>
        <w:tabs>
          <w:tab w:val="left" w:pos="1365"/>
        </w:tabs>
        <w:autoSpaceDE w:val="0"/>
        <w:autoSpaceDN w:val="0"/>
        <w:spacing w:line="400" w:lineRule="exact"/>
        <w:ind w:right="-53" w:firstLine="480" w:firstLineChars="200"/>
        <w:jc w:val="left"/>
        <w:textAlignment w:val="bottom"/>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、投标人应根据招标文件技术要求及自身货物情况，进行综合报价。</w:t>
      </w:r>
    </w:p>
    <w:p>
      <w:pPr>
        <w:spacing w:line="400" w:lineRule="exact"/>
        <w:ind w:firstLine="480" w:firstLineChars="200"/>
        <w:rPr>
          <w:rFonts w:hint="eastAsia" w:ascii="宋体" w:hAnsi="宋体" w:eastAsia="宋体" w:cs="宋体"/>
          <w:b/>
          <w:bCs/>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投标人须充分考虑所投货物成本(包括采购费、仓储费、所有税金等一切有关费用)、保险、包装、吊装、运至最终目的地的运输、损耗、卸车、检测验收、交付后约定期限内免费维保、利润、税金、供货方式及周期、需求量调整、市场价格风险、伴随服务等一切因素，中标及合同履约期内，不得以任何理由要求对其中标价进行变更或拒绝供货。</w:t>
      </w:r>
    </w:p>
    <w:p>
      <w:pPr>
        <w:widowControl/>
        <w:spacing w:line="4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投标人应自行对供货现场和周围环境进行勘察，以获取编制报价文件和签署合同所需的资料，勘察现场所发生的费用由报价人自己承担。投标人因自身原因未到供货现场实地踏勘的，成交后签订合同时和履约过程中，投标人不得以不完全了解现场情况为由，提出任何形式的增加合同外造价或索赔的要求。</w:t>
      </w:r>
    </w:p>
    <w:p>
      <w:pPr>
        <w:widowControl/>
        <w:spacing w:line="400" w:lineRule="exac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、中标人不得在成交后将成交项目转包给其他企业法人或自然人，否则招标人有权解除合同</w:t>
      </w:r>
      <w:r>
        <w:rPr>
          <w:rFonts w:hint="eastAsia" w:ascii="宋体" w:hAnsi="宋体" w:eastAsia="宋体" w:cs="宋体"/>
          <w:color w:val="auto"/>
          <w:kern w:val="0"/>
          <w:sz w:val="24"/>
          <w:lang w:eastAsia="zh-CN"/>
        </w:rPr>
        <w:t>。</w:t>
      </w:r>
    </w:p>
    <w:p>
      <w:pPr>
        <w:widowControl/>
        <w:spacing w:line="4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w:t>
      </w:r>
      <w:r>
        <w:rPr>
          <w:rFonts w:hint="eastAsia" w:ascii="宋体" w:hAnsi="宋体" w:eastAsia="宋体" w:cs="宋体"/>
          <w:color w:val="auto"/>
          <w:sz w:val="24"/>
        </w:rPr>
        <w:t>当中标人选定的材料质量达不到预期质量目标要求时，招标人有权取消其中标资格。若使用劣质材料施工，一经发现，招标人有权制止使用，直至停工、返工或单方解除合同。无论招标人是否发现和制止，由于使用劣质材料施工所引起的一切责任及所发生的一切费用经招标人确认后，均由中标人自负。</w:t>
      </w:r>
      <w:r>
        <w:rPr>
          <w:rFonts w:hint="eastAsia" w:ascii="宋体" w:hAnsi="宋体" w:eastAsia="宋体" w:cs="宋体"/>
          <w:color w:val="auto"/>
          <w:kern w:val="0"/>
          <w:sz w:val="24"/>
        </w:rPr>
        <w:t>第二中标候选人亦发生第一中标候选人上述行为的，</w:t>
      </w:r>
      <w:r>
        <w:rPr>
          <w:rFonts w:hint="eastAsia" w:ascii="宋体" w:hAnsi="宋体" w:eastAsia="宋体" w:cs="宋体"/>
          <w:bCs/>
          <w:color w:val="auto"/>
          <w:sz w:val="24"/>
        </w:rPr>
        <w:t>有发生以上情形的投标人经招标人确认列为不诚信履约单位，今后招标人的采购将拒绝其参加。</w:t>
      </w:r>
    </w:p>
    <w:p>
      <w:pP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br w:type="page"/>
      </w:r>
    </w:p>
    <w:p>
      <w:pPr>
        <w:spacing w:line="400" w:lineRule="exact"/>
        <w:rPr>
          <w:rFonts w:hint="eastAsia" w:ascii="宋体" w:hAnsi="宋体" w:eastAsia="宋体" w:cs="宋体"/>
          <w:b/>
          <w:color w:val="auto"/>
          <w:sz w:val="24"/>
        </w:rPr>
      </w:pPr>
      <w:r>
        <w:rPr>
          <w:rFonts w:hint="eastAsia" w:ascii="宋体" w:hAnsi="宋体" w:eastAsia="宋体" w:cs="宋体"/>
          <w:b/>
          <w:color w:val="auto"/>
          <w:sz w:val="24"/>
          <w:lang w:val="en-US" w:eastAsia="zh-CN"/>
        </w:rPr>
        <w:t>六</w:t>
      </w:r>
      <w:r>
        <w:rPr>
          <w:rFonts w:hint="eastAsia" w:ascii="宋体" w:hAnsi="宋体" w:eastAsia="宋体" w:cs="宋体"/>
          <w:b/>
          <w:color w:val="auto"/>
          <w:sz w:val="24"/>
        </w:rPr>
        <w:t>、交货方式</w:t>
      </w:r>
    </w:p>
    <w:p>
      <w:pPr>
        <w:widowControl/>
        <w:spacing w:line="400" w:lineRule="exact"/>
        <w:ind w:firstLine="360" w:firstLineChars="150"/>
        <w:jc w:val="left"/>
        <w:rPr>
          <w:rFonts w:hint="eastAsia" w:ascii="宋体" w:hAnsi="宋体" w:eastAsia="宋体" w:cs="宋体"/>
          <w:color w:val="auto"/>
          <w:sz w:val="24"/>
        </w:rPr>
      </w:pPr>
      <w:r>
        <w:rPr>
          <w:rFonts w:hint="eastAsia" w:ascii="宋体" w:hAnsi="宋体" w:eastAsia="宋体" w:cs="宋体"/>
          <w:color w:val="auto"/>
          <w:sz w:val="24"/>
        </w:rPr>
        <w:t>1、交货时间：</w:t>
      </w:r>
      <w:r>
        <w:rPr>
          <w:rFonts w:hint="eastAsia" w:ascii="宋体" w:hAnsi="宋体" w:eastAsia="宋体" w:cs="宋体"/>
          <w:b/>
          <w:color w:val="auto"/>
          <w:sz w:val="24"/>
        </w:rPr>
        <w:t>供货周期在收到施工总承包单位提供的材料数量表</w:t>
      </w:r>
      <w:r>
        <w:rPr>
          <w:rFonts w:hint="eastAsia" w:ascii="宋体" w:hAnsi="宋体" w:eastAsia="宋体" w:cs="宋体"/>
          <w:b/>
          <w:color w:val="auto"/>
          <w:sz w:val="24"/>
          <w:lang w:val="en-US" w:eastAsia="zh-CN"/>
        </w:rPr>
        <w:t>15</w:t>
      </w:r>
      <w:r>
        <w:rPr>
          <w:rFonts w:hint="eastAsia" w:ascii="宋体" w:hAnsi="宋体" w:eastAsia="宋体" w:cs="宋体"/>
          <w:b/>
          <w:color w:val="auto"/>
          <w:sz w:val="24"/>
        </w:rPr>
        <w:t>日之内到达施工单位指定的收货地点（沙县城区内）</w:t>
      </w:r>
      <w:r>
        <w:rPr>
          <w:rFonts w:hint="eastAsia" w:ascii="宋体" w:hAnsi="宋体" w:eastAsia="宋体" w:cs="宋体"/>
          <w:color w:val="auto"/>
          <w:sz w:val="24"/>
        </w:rPr>
        <w:t>。</w:t>
      </w:r>
    </w:p>
    <w:p>
      <w:pPr>
        <w:widowControl/>
        <w:spacing w:line="400" w:lineRule="exact"/>
        <w:ind w:firstLine="360" w:firstLineChars="150"/>
        <w:jc w:val="left"/>
        <w:rPr>
          <w:rFonts w:hint="eastAsia" w:ascii="宋体" w:hAnsi="宋体" w:eastAsia="宋体" w:cs="宋体"/>
          <w:color w:val="auto"/>
          <w:sz w:val="24"/>
        </w:rPr>
      </w:pPr>
      <w:r>
        <w:rPr>
          <w:rFonts w:hint="eastAsia" w:ascii="宋体" w:hAnsi="宋体" w:eastAsia="宋体" w:cs="宋体"/>
          <w:color w:val="auto"/>
          <w:sz w:val="24"/>
        </w:rPr>
        <w:t>2、项目实施地点：</w:t>
      </w:r>
      <w:r>
        <w:rPr>
          <w:rFonts w:hint="eastAsia" w:ascii="宋体" w:hAnsi="宋体" w:eastAsia="宋体" w:cs="宋体"/>
          <w:color w:val="auto"/>
          <w:sz w:val="24"/>
          <w:lang w:eastAsia="zh-CN"/>
        </w:rPr>
        <w:t>沙县南霞乡</w:t>
      </w:r>
      <w:r>
        <w:rPr>
          <w:rFonts w:hint="eastAsia" w:ascii="宋体" w:hAnsi="宋体" w:eastAsia="宋体" w:cs="宋体"/>
          <w:color w:val="auto"/>
          <w:sz w:val="24"/>
        </w:rPr>
        <w:t>。</w:t>
      </w:r>
    </w:p>
    <w:p>
      <w:pPr>
        <w:widowControl/>
        <w:spacing w:line="400" w:lineRule="exact"/>
        <w:ind w:firstLine="360" w:firstLineChars="150"/>
        <w:jc w:val="left"/>
        <w:rPr>
          <w:rFonts w:hint="eastAsia" w:ascii="宋体" w:hAnsi="宋体" w:eastAsia="宋体" w:cs="宋体"/>
          <w:color w:val="auto"/>
          <w:sz w:val="24"/>
        </w:rPr>
      </w:pPr>
      <w:r>
        <w:rPr>
          <w:rFonts w:hint="eastAsia" w:ascii="宋体" w:hAnsi="宋体" w:eastAsia="宋体" w:cs="宋体"/>
          <w:color w:val="auto"/>
          <w:sz w:val="24"/>
        </w:rPr>
        <w:t>3、最终交货：货物到达招标人现场后，由招标人会同有关部门进行基本数量和质量的检验，双方签署最终验收合格报告即为最终交货。</w:t>
      </w:r>
    </w:p>
    <w:p>
      <w:pPr>
        <w:spacing w:line="40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4、最终验收前所有各项费用均由中标人承担。</w:t>
      </w:r>
    </w:p>
    <w:p>
      <w:pPr>
        <w:spacing w:line="400" w:lineRule="exact"/>
        <w:ind w:left="120" w:leftChars="57" w:firstLine="240" w:firstLineChars="100"/>
        <w:rPr>
          <w:rFonts w:hint="eastAsia" w:ascii="宋体" w:hAnsi="宋体" w:eastAsia="宋体" w:cs="宋体"/>
          <w:bCs/>
          <w:color w:val="auto"/>
          <w:sz w:val="24"/>
        </w:rPr>
      </w:pPr>
      <w:r>
        <w:rPr>
          <w:rFonts w:hint="eastAsia" w:ascii="宋体" w:hAnsi="宋体" w:eastAsia="宋体" w:cs="宋体"/>
          <w:bCs/>
          <w:color w:val="auto"/>
          <w:sz w:val="24"/>
        </w:rPr>
        <w:t>5、违约：中标人在规定时间内不能按时将货物交付招标人使用的，延期7天内（含7天）的，按合同总额的3%支付给招标人逾期违约金；延期8-15天（含15天），按合同总额的5%支付给招标人逾期违约金；延期超过15天，按合同总额的20%支付给招标人逾期违约金；招标人有权单方解除采购合同并由中标人应承担招标人一切损失。</w:t>
      </w:r>
    </w:p>
    <w:p>
      <w:pPr>
        <w:pStyle w:val="15"/>
        <w:keepNext w:val="0"/>
        <w:keepLines w:val="0"/>
        <w:widowControl/>
        <w:suppressLineNumbers w:val="0"/>
        <w:rPr>
          <w:rFonts w:hint="eastAsia" w:ascii="宋体" w:hAnsi="宋体" w:eastAsia="宋体" w:cs="宋体"/>
          <w:kern w:val="0"/>
          <w:sz w:val="24"/>
          <w:szCs w:val="24"/>
          <w:lang w:val="en-US" w:eastAsia="zh-CN" w:bidi="ar-SA"/>
        </w:rPr>
        <w:sectPr>
          <w:pgSz w:w="11906" w:h="16838"/>
          <w:pgMar w:top="1440" w:right="1800" w:bottom="1440" w:left="1800" w:header="851" w:footer="992" w:gutter="0"/>
          <w:pgNumType w:fmt="decimal"/>
          <w:cols w:space="425" w:num="1"/>
          <w:docGrid w:type="lines" w:linePitch="312" w:charSpace="0"/>
        </w:sectPr>
      </w:pPr>
    </w:p>
    <w:bookmarkEnd w:id="5"/>
    <w:p>
      <w:pPr>
        <w:pStyle w:val="2"/>
      </w:pPr>
      <w:bookmarkStart w:id="6" w:name="_Toc12868"/>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21368"/>
      <w:r>
        <w:rPr>
          <w:rFonts w:hint="eastAsia"/>
        </w:rPr>
        <w:t>1</w:t>
      </w:r>
      <w:r>
        <w:t>、报价一览表</w:t>
      </w:r>
      <w:bookmarkEnd w:id="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40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1440"/>
        <w:gridCol w:w="1065"/>
        <w:gridCol w:w="1980"/>
        <w:gridCol w:w="1080"/>
        <w:gridCol w:w="199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4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65"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80"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9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4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65"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8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9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5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8" w:name="_Toc32753"/>
      <w:r>
        <w:rPr>
          <w:rFonts w:hint="eastAsia"/>
        </w:rPr>
        <w:t>2</w:t>
      </w:r>
      <w:r>
        <w:t>、分项报价表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6"/>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9" w:name="_Toc19447"/>
      <w:r>
        <w:rPr>
          <w:rFonts w:hint="eastAsia"/>
        </w:rPr>
        <w:t>3、资格证明文件</w:t>
      </w:r>
      <w:bookmarkEnd w:id="9"/>
    </w:p>
    <w:p>
      <w:pPr>
        <w:pStyle w:val="4"/>
      </w:pPr>
      <w:bookmarkStart w:id="10" w:name="_Toc11904"/>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1" w:name="_Toc16968"/>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2" w:name="_Toc26424"/>
      <w:r>
        <w:rPr>
          <w:rFonts w:hint="eastAsia"/>
        </w:rPr>
        <w:t>4</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3" w:name="_Toc24633"/>
      <w:r>
        <w:rPr>
          <w:rFonts w:hint="eastAsia"/>
        </w:rPr>
        <w:t>5</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6"/>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4" w:name="_Toc25524"/>
      <w:r>
        <w:rPr>
          <w:rFonts w:hint="eastAsia"/>
        </w:rPr>
        <w:t>6</w:t>
      </w:r>
      <w:r>
        <w:t>、</w:t>
      </w:r>
      <w:r>
        <w:rPr>
          <w:rFonts w:hint="eastAsia"/>
        </w:rPr>
        <w:t>售后服务承诺函</w:t>
      </w:r>
      <w:bookmarkEnd w:id="14"/>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一、【按业主要求我司提供的售后服务标准列出】</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shd w:val="clear" w:color="auto" w:fill="FFFFFF"/>
        <w:spacing w:line="360" w:lineRule="auto"/>
        <w:ind w:right="420" w:firstLine="480" w:firstLineChars="200"/>
        <w:jc w:val="left"/>
        <w:rPr>
          <w:rFonts w:ascii="宋体" w:hAnsi="宋体" w:eastAsia="宋体"/>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b/>
      </w:rPr>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1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F1B494"/>
    <w:multiLevelType w:val="singleLevel"/>
    <w:tmpl w:val="C5F1B494"/>
    <w:lvl w:ilvl="0" w:tentative="0">
      <w:start w:val="1"/>
      <w:numFmt w:val="chineseCounting"/>
      <w:suff w:val="nothing"/>
      <w:lvlText w:val="%1、"/>
      <w:lvlJc w:val="left"/>
      <w:rPr>
        <w:rFonts w:hint="eastAsia"/>
      </w:rPr>
    </w:lvl>
  </w:abstractNum>
  <w:abstractNum w:abstractNumId="1">
    <w:nsid w:val="53233685"/>
    <w:multiLevelType w:val="multilevel"/>
    <w:tmpl w:val="5323368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58D4C44"/>
    <w:multiLevelType w:val="multilevel"/>
    <w:tmpl w:val="558D4C4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A094BD0"/>
    <w:multiLevelType w:val="singleLevel"/>
    <w:tmpl w:val="5A094BD0"/>
    <w:lvl w:ilvl="0" w:tentative="0">
      <w:start w:val="1"/>
      <w:numFmt w:val="decimal"/>
      <w:suff w:val="nothing"/>
      <w:lvlText w:val="%1、"/>
      <w:lvlJc w:val="left"/>
    </w:lvl>
  </w:abstractNum>
  <w:abstractNum w:abstractNumId="4">
    <w:nsid w:val="7D2B29EC"/>
    <w:multiLevelType w:val="multilevel"/>
    <w:tmpl w:val="7D2B29E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6C7"/>
    <w:rsid w:val="00032E96"/>
    <w:rsid w:val="00046135"/>
    <w:rsid w:val="000B2720"/>
    <w:rsid w:val="000D4EB6"/>
    <w:rsid w:val="000D6F44"/>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B2396"/>
    <w:rsid w:val="003B75F5"/>
    <w:rsid w:val="003C2CA3"/>
    <w:rsid w:val="003D03C7"/>
    <w:rsid w:val="003F2F4D"/>
    <w:rsid w:val="00407E2C"/>
    <w:rsid w:val="0041229E"/>
    <w:rsid w:val="00417DC2"/>
    <w:rsid w:val="004277D0"/>
    <w:rsid w:val="004505A3"/>
    <w:rsid w:val="004542A1"/>
    <w:rsid w:val="004B2633"/>
    <w:rsid w:val="004B3DAD"/>
    <w:rsid w:val="004B3F97"/>
    <w:rsid w:val="004D0662"/>
    <w:rsid w:val="004E1853"/>
    <w:rsid w:val="005005FE"/>
    <w:rsid w:val="00543730"/>
    <w:rsid w:val="0055358B"/>
    <w:rsid w:val="005624F3"/>
    <w:rsid w:val="005821CA"/>
    <w:rsid w:val="005B4772"/>
    <w:rsid w:val="005D5D8E"/>
    <w:rsid w:val="005E7B4D"/>
    <w:rsid w:val="005E7BAB"/>
    <w:rsid w:val="0060325D"/>
    <w:rsid w:val="0062243F"/>
    <w:rsid w:val="0066787A"/>
    <w:rsid w:val="00691F96"/>
    <w:rsid w:val="006966E6"/>
    <w:rsid w:val="006A148F"/>
    <w:rsid w:val="007064F2"/>
    <w:rsid w:val="007156DD"/>
    <w:rsid w:val="007248C4"/>
    <w:rsid w:val="00734B3B"/>
    <w:rsid w:val="00740EC3"/>
    <w:rsid w:val="00793D48"/>
    <w:rsid w:val="007C386F"/>
    <w:rsid w:val="007C3B30"/>
    <w:rsid w:val="007D181F"/>
    <w:rsid w:val="007E218F"/>
    <w:rsid w:val="007F23C2"/>
    <w:rsid w:val="0080797A"/>
    <w:rsid w:val="00813FFE"/>
    <w:rsid w:val="00822C1E"/>
    <w:rsid w:val="00851277"/>
    <w:rsid w:val="00857022"/>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7173B"/>
    <w:rsid w:val="009856AD"/>
    <w:rsid w:val="00994B1F"/>
    <w:rsid w:val="009A3126"/>
    <w:rsid w:val="009F35B6"/>
    <w:rsid w:val="009F76F7"/>
    <w:rsid w:val="00A477CE"/>
    <w:rsid w:val="00A67A3F"/>
    <w:rsid w:val="00A72C8F"/>
    <w:rsid w:val="00A8667D"/>
    <w:rsid w:val="00A96785"/>
    <w:rsid w:val="00AA3625"/>
    <w:rsid w:val="00AB05AF"/>
    <w:rsid w:val="00AB2854"/>
    <w:rsid w:val="00AE2578"/>
    <w:rsid w:val="00AF7D1C"/>
    <w:rsid w:val="00B00EAA"/>
    <w:rsid w:val="00B070A6"/>
    <w:rsid w:val="00B55749"/>
    <w:rsid w:val="00B67D98"/>
    <w:rsid w:val="00B75944"/>
    <w:rsid w:val="00B7665D"/>
    <w:rsid w:val="00B800FC"/>
    <w:rsid w:val="00B9706C"/>
    <w:rsid w:val="00BA7C84"/>
    <w:rsid w:val="00BB221D"/>
    <w:rsid w:val="00BC6834"/>
    <w:rsid w:val="00BF2656"/>
    <w:rsid w:val="00C0619D"/>
    <w:rsid w:val="00C203A4"/>
    <w:rsid w:val="00C316D3"/>
    <w:rsid w:val="00C733FE"/>
    <w:rsid w:val="00CB5CE4"/>
    <w:rsid w:val="00CC50FA"/>
    <w:rsid w:val="00CD67F8"/>
    <w:rsid w:val="00D02B6F"/>
    <w:rsid w:val="00D534B4"/>
    <w:rsid w:val="00D9797B"/>
    <w:rsid w:val="00DA7C03"/>
    <w:rsid w:val="00DB7483"/>
    <w:rsid w:val="00E46A5A"/>
    <w:rsid w:val="00E541A9"/>
    <w:rsid w:val="00E56762"/>
    <w:rsid w:val="00E86EA0"/>
    <w:rsid w:val="00E87A1D"/>
    <w:rsid w:val="00ED3E3A"/>
    <w:rsid w:val="00ED6B99"/>
    <w:rsid w:val="00F37F85"/>
    <w:rsid w:val="00F462D3"/>
    <w:rsid w:val="00F50C66"/>
    <w:rsid w:val="00F8124F"/>
    <w:rsid w:val="00F955FD"/>
    <w:rsid w:val="00FF3404"/>
    <w:rsid w:val="0186520A"/>
    <w:rsid w:val="01CA7D71"/>
    <w:rsid w:val="025414A3"/>
    <w:rsid w:val="08867527"/>
    <w:rsid w:val="0AFB055B"/>
    <w:rsid w:val="0CBA46CE"/>
    <w:rsid w:val="0DDE514A"/>
    <w:rsid w:val="0E1D2F35"/>
    <w:rsid w:val="0E7F59D1"/>
    <w:rsid w:val="12B62D6C"/>
    <w:rsid w:val="13E94009"/>
    <w:rsid w:val="142922FA"/>
    <w:rsid w:val="15747306"/>
    <w:rsid w:val="195B7226"/>
    <w:rsid w:val="19F91B9F"/>
    <w:rsid w:val="1C9661C2"/>
    <w:rsid w:val="2003214F"/>
    <w:rsid w:val="20903B57"/>
    <w:rsid w:val="224123EA"/>
    <w:rsid w:val="27EF30AF"/>
    <w:rsid w:val="281F6275"/>
    <w:rsid w:val="2A564F01"/>
    <w:rsid w:val="2A776C51"/>
    <w:rsid w:val="2A8F3ACE"/>
    <w:rsid w:val="2AA62A27"/>
    <w:rsid w:val="2C640104"/>
    <w:rsid w:val="2F166109"/>
    <w:rsid w:val="30D22F66"/>
    <w:rsid w:val="32692307"/>
    <w:rsid w:val="353A00A7"/>
    <w:rsid w:val="36045A42"/>
    <w:rsid w:val="38435B0E"/>
    <w:rsid w:val="38641FE2"/>
    <w:rsid w:val="3ADB7028"/>
    <w:rsid w:val="408E7458"/>
    <w:rsid w:val="456E3B2A"/>
    <w:rsid w:val="45B7147F"/>
    <w:rsid w:val="48402E9E"/>
    <w:rsid w:val="4A210D79"/>
    <w:rsid w:val="4E705210"/>
    <w:rsid w:val="4F8945F8"/>
    <w:rsid w:val="528C770B"/>
    <w:rsid w:val="53637492"/>
    <w:rsid w:val="54CE2685"/>
    <w:rsid w:val="5538484B"/>
    <w:rsid w:val="56A73B4F"/>
    <w:rsid w:val="575515D6"/>
    <w:rsid w:val="5D3F0E19"/>
    <w:rsid w:val="5EFC3C53"/>
    <w:rsid w:val="62E65DE6"/>
    <w:rsid w:val="654827AB"/>
    <w:rsid w:val="65C544DA"/>
    <w:rsid w:val="660F705E"/>
    <w:rsid w:val="6740609C"/>
    <w:rsid w:val="67B1191C"/>
    <w:rsid w:val="68094B24"/>
    <w:rsid w:val="6C692F56"/>
    <w:rsid w:val="70820A2A"/>
    <w:rsid w:val="70A131A5"/>
    <w:rsid w:val="72796D7C"/>
    <w:rsid w:val="7B1277D0"/>
    <w:rsid w:val="7CFB6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iPriority w:val="0"/>
    <w:pPr>
      <w:ind w:firstLine="420"/>
    </w:pPr>
    <w:rPr>
      <w:szCs w:val="20"/>
    </w:rPr>
  </w:style>
  <w:style w:type="paragraph" w:styleId="7">
    <w:name w:val="toc 3"/>
    <w:basedOn w:val="1"/>
    <w:next w:val="1"/>
    <w:unhideWhenUsed/>
    <w:qFormat/>
    <w:uiPriority w:val="39"/>
    <w:pPr>
      <w:ind w:left="840" w:leftChars="400"/>
    </w:pPr>
  </w:style>
  <w:style w:type="paragraph" w:styleId="8">
    <w:name w:val="Plain Text"/>
    <w:basedOn w:val="1"/>
    <w:uiPriority w:val="0"/>
    <w:rPr>
      <w:rFonts w:ascii="宋体" w:hAnsi="Courier New"/>
      <w:sz w:val="21"/>
      <w:szCs w:val="20"/>
    </w:rPr>
  </w:style>
  <w:style w:type="paragraph" w:styleId="9">
    <w:name w:val="Balloon Text"/>
    <w:basedOn w:val="1"/>
    <w:link w:val="219"/>
    <w:semiHidden/>
    <w:unhideWhenUsed/>
    <w:qFormat/>
    <w:uiPriority w:val="99"/>
    <w:rPr>
      <w:sz w:val="18"/>
      <w:szCs w:val="18"/>
    </w:rPr>
  </w:style>
  <w:style w:type="paragraph" w:styleId="10">
    <w:name w:val="footer"/>
    <w:basedOn w:val="1"/>
    <w:link w:val="214"/>
    <w:unhideWhenUsed/>
    <w:qFormat/>
    <w:uiPriority w:val="99"/>
    <w:pPr>
      <w:tabs>
        <w:tab w:val="center" w:pos="4153"/>
        <w:tab w:val="right" w:pos="8306"/>
      </w:tabs>
      <w:snapToGrid w:val="0"/>
      <w:jc w:val="left"/>
    </w:pPr>
    <w:rPr>
      <w:sz w:val="18"/>
      <w:szCs w:val="18"/>
    </w:rPr>
  </w:style>
  <w:style w:type="paragraph" w:styleId="11">
    <w:name w:val="header"/>
    <w:basedOn w:val="1"/>
    <w:link w:val="21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HTML Preformatted"/>
    <w:basedOn w:val="1"/>
    <w:link w:val="2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5">
    <w:name w:val="Normal (Web)"/>
    <w:basedOn w:val="1"/>
    <w:unhideWhenUsed/>
    <w:qFormat/>
    <w:uiPriority w:val="99"/>
    <w:pPr>
      <w:widowControl/>
      <w:jc w:val="left"/>
    </w:pPr>
    <w:rPr>
      <w:rFonts w:ascii="宋体" w:hAnsi="宋体" w:eastAsia="宋体" w:cs="宋体"/>
      <w:kern w:val="0"/>
      <w:sz w:val="24"/>
      <w:szCs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llowedHyperlink"/>
    <w:basedOn w:val="18"/>
    <w:semiHidden/>
    <w:unhideWhenUsed/>
    <w:qFormat/>
    <w:uiPriority w:val="99"/>
    <w:rPr>
      <w:color w:val="551A8B"/>
      <w:u w:val="none"/>
    </w:rPr>
  </w:style>
  <w:style w:type="character" w:styleId="21">
    <w:name w:val="HTML Definition"/>
    <w:basedOn w:val="18"/>
    <w:semiHidden/>
    <w:unhideWhenUsed/>
    <w:qFormat/>
    <w:uiPriority w:val="99"/>
    <w:rPr>
      <w:i/>
      <w:iCs/>
    </w:rPr>
  </w:style>
  <w:style w:type="character" w:styleId="22">
    <w:name w:val="Hyperlink"/>
    <w:basedOn w:val="18"/>
    <w:unhideWhenUsed/>
    <w:qFormat/>
    <w:uiPriority w:val="99"/>
    <w:rPr>
      <w:color w:val="0000EE"/>
      <w:u w:val="none"/>
    </w:rPr>
  </w:style>
  <w:style w:type="character" w:styleId="23">
    <w:name w:val="HTML Code"/>
    <w:basedOn w:val="18"/>
    <w:semiHidden/>
    <w:unhideWhenUsed/>
    <w:qFormat/>
    <w:uiPriority w:val="99"/>
    <w:rPr>
      <w:rFonts w:hint="default" w:ascii="Courier New" w:hAnsi="Courier New" w:eastAsia="宋体" w:cs="宋体"/>
      <w:sz w:val="24"/>
      <w:szCs w:val="24"/>
    </w:rPr>
  </w:style>
  <w:style w:type="character" w:styleId="24">
    <w:name w:val="HTML Keyboard"/>
    <w:basedOn w:val="18"/>
    <w:semiHidden/>
    <w:unhideWhenUsed/>
    <w:qFormat/>
    <w:uiPriority w:val="99"/>
    <w:rPr>
      <w:rFonts w:hint="default" w:ascii="Courier New" w:hAnsi="Courier New" w:eastAsia="宋体" w:cs="宋体"/>
      <w:sz w:val="24"/>
      <w:szCs w:val="24"/>
    </w:rPr>
  </w:style>
  <w:style w:type="character" w:styleId="25">
    <w:name w:val="HTML Sample"/>
    <w:basedOn w:val="18"/>
    <w:semiHidden/>
    <w:unhideWhenUsed/>
    <w:qFormat/>
    <w:uiPriority w:val="99"/>
    <w:rPr>
      <w:rFonts w:hint="default" w:ascii="Courier New" w:hAnsi="Courier New" w:eastAsia="宋体" w:cs="宋体"/>
      <w:sz w:val="24"/>
      <w:szCs w:val="24"/>
    </w:rPr>
  </w:style>
  <w:style w:type="character" w:customStyle="1" w:styleId="26">
    <w:name w:val="标题 1 Char"/>
    <w:basedOn w:val="18"/>
    <w:link w:val="2"/>
    <w:qFormat/>
    <w:uiPriority w:val="9"/>
    <w:rPr>
      <w:rFonts w:ascii="宋体" w:hAnsi="宋体" w:eastAsia="宋体" w:cs="宋体"/>
      <w:b/>
      <w:bCs/>
      <w:kern w:val="36"/>
      <w:sz w:val="48"/>
      <w:szCs w:val="48"/>
    </w:rPr>
  </w:style>
  <w:style w:type="character" w:customStyle="1" w:styleId="27">
    <w:name w:val="标题 4 Char"/>
    <w:basedOn w:val="18"/>
    <w:link w:val="5"/>
    <w:qFormat/>
    <w:uiPriority w:val="9"/>
    <w:rPr>
      <w:rFonts w:ascii="宋体" w:hAnsi="宋体" w:eastAsia="宋体" w:cs="宋体"/>
      <w:b/>
      <w:bCs/>
      <w:kern w:val="0"/>
      <w:sz w:val="24"/>
      <w:szCs w:val="24"/>
    </w:rPr>
  </w:style>
  <w:style w:type="character" w:customStyle="1" w:styleId="28">
    <w:name w:val="HTML 预设格式 Char"/>
    <w:basedOn w:val="18"/>
    <w:link w:val="14"/>
    <w:semiHidden/>
    <w:qFormat/>
    <w:uiPriority w:val="99"/>
    <w:rPr>
      <w:rFonts w:ascii="Courier New" w:hAnsi="Courier New" w:eastAsia="宋体" w:cs="宋体"/>
      <w:kern w:val="0"/>
      <w:sz w:val="24"/>
      <w:szCs w:val="24"/>
    </w:rPr>
  </w:style>
  <w:style w:type="paragraph" w:customStyle="1" w:styleId="29">
    <w:name w:val="msonormal"/>
    <w:basedOn w:val="1"/>
    <w:qFormat/>
    <w:uiPriority w:val="0"/>
    <w:pPr>
      <w:widowControl/>
      <w:jc w:val="left"/>
    </w:pPr>
    <w:rPr>
      <w:rFonts w:ascii="宋体" w:hAnsi="宋体" w:eastAsia="宋体" w:cs="宋体"/>
      <w:kern w:val="0"/>
      <w:sz w:val="24"/>
      <w:szCs w:val="24"/>
    </w:rPr>
  </w:style>
  <w:style w:type="paragraph" w:customStyle="1" w:styleId="30">
    <w:name w:val="ir"/>
    <w:basedOn w:val="1"/>
    <w:qFormat/>
    <w:uiPriority w:val="0"/>
    <w:pPr>
      <w:widowControl/>
      <w:ind w:firstLine="22384"/>
      <w:jc w:val="left"/>
    </w:pPr>
    <w:rPr>
      <w:rFonts w:ascii="宋体" w:hAnsi="宋体" w:eastAsia="宋体" w:cs="宋体"/>
      <w:kern w:val="0"/>
      <w:sz w:val="24"/>
      <w:szCs w:val="24"/>
    </w:rPr>
  </w:style>
  <w:style w:type="paragraph" w:customStyle="1" w:styleId="31">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32">
    <w:name w:val="image"/>
    <w:basedOn w:val="1"/>
    <w:qFormat/>
    <w:uiPriority w:val="0"/>
    <w:pPr>
      <w:widowControl/>
      <w:jc w:val="left"/>
    </w:pPr>
    <w:rPr>
      <w:rFonts w:ascii="宋体" w:hAnsi="宋体" w:eastAsia="宋体" w:cs="宋体"/>
      <w:kern w:val="0"/>
      <w:sz w:val="24"/>
      <w:szCs w:val="24"/>
    </w:rPr>
  </w:style>
  <w:style w:type="paragraph" w:customStyle="1" w:styleId="33">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4">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5">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6">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7">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8">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9">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0">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41">
    <w:name w:val="pag_box3"/>
    <w:basedOn w:val="1"/>
    <w:qFormat/>
    <w:uiPriority w:val="0"/>
    <w:pPr>
      <w:widowControl/>
      <w:spacing w:before="150"/>
      <w:jc w:val="left"/>
    </w:pPr>
    <w:rPr>
      <w:rFonts w:ascii="宋体" w:hAnsi="宋体" w:eastAsia="宋体" w:cs="宋体"/>
      <w:kern w:val="0"/>
      <w:sz w:val="24"/>
      <w:szCs w:val="24"/>
    </w:rPr>
  </w:style>
  <w:style w:type="paragraph" w:customStyle="1" w:styleId="42">
    <w:name w:val="pag_box3b"/>
    <w:basedOn w:val="1"/>
    <w:qFormat/>
    <w:uiPriority w:val="0"/>
    <w:pPr>
      <w:widowControl/>
      <w:spacing w:before="150"/>
      <w:jc w:val="left"/>
    </w:pPr>
    <w:rPr>
      <w:rFonts w:ascii="宋体" w:hAnsi="宋体" w:eastAsia="宋体" w:cs="宋体"/>
      <w:kern w:val="0"/>
      <w:sz w:val="24"/>
      <w:szCs w:val="24"/>
    </w:rPr>
  </w:style>
  <w:style w:type="paragraph" w:customStyle="1" w:styleId="43">
    <w:name w:val="pag_box4"/>
    <w:basedOn w:val="1"/>
    <w:qFormat/>
    <w:uiPriority w:val="0"/>
    <w:pPr>
      <w:widowControl/>
      <w:jc w:val="left"/>
    </w:pPr>
    <w:rPr>
      <w:rFonts w:ascii="宋体" w:hAnsi="宋体" w:eastAsia="宋体" w:cs="宋体"/>
      <w:kern w:val="0"/>
      <w:sz w:val="24"/>
      <w:szCs w:val="24"/>
    </w:rPr>
  </w:style>
  <w:style w:type="paragraph" w:customStyle="1" w:styleId="44">
    <w:name w:val="pag_box15"/>
    <w:basedOn w:val="1"/>
    <w:qFormat/>
    <w:uiPriority w:val="0"/>
    <w:pPr>
      <w:widowControl/>
      <w:jc w:val="left"/>
    </w:pPr>
    <w:rPr>
      <w:rFonts w:ascii="宋体" w:hAnsi="宋体" w:eastAsia="宋体" w:cs="宋体"/>
      <w:kern w:val="0"/>
      <w:sz w:val="24"/>
      <w:szCs w:val="24"/>
    </w:rPr>
  </w:style>
  <w:style w:type="paragraph" w:customStyle="1" w:styleId="45">
    <w:name w:val="pag_box15b"/>
    <w:basedOn w:val="1"/>
    <w:qFormat/>
    <w:uiPriority w:val="0"/>
    <w:pPr>
      <w:widowControl/>
      <w:jc w:val="left"/>
    </w:pPr>
    <w:rPr>
      <w:rFonts w:ascii="宋体" w:hAnsi="宋体" w:eastAsia="宋体" w:cs="宋体"/>
      <w:kern w:val="0"/>
      <w:sz w:val="24"/>
      <w:szCs w:val="24"/>
    </w:rPr>
  </w:style>
  <w:style w:type="paragraph" w:customStyle="1" w:styleId="46">
    <w:name w:val="pag_box5"/>
    <w:basedOn w:val="1"/>
    <w:qFormat/>
    <w:uiPriority w:val="0"/>
    <w:pPr>
      <w:widowControl/>
      <w:jc w:val="left"/>
    </w:pPr>
    <w:rPr>
      <w:rFonts w:ascii="宋体" w:hAnsi="宋体" w:eastAsia="宋体" w:cs="宋体"/>
      <w:kern w:val="0"/>
      <w:sz w:val="24"/>
      <w:szCs w:val="24"/>
    </w:rPr>
  </w:style>
  <w:style w:type="paragraph" w:customStyle="1" w:styleId="47">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8">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9">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50">
    <w:name w:val="pag_box8"/>
    <w:basedOn w:val="1"/>
    <w:qFormat/>
    <w:uiPriority w:val="0"/>
    <w:pPr>
      <w:widowControl/>
      <w:jc w:val="left"/>
    </w:pPr>
    <w:rPr>
      <w:rFonts w:ascii="宋体" w:hAnsi="宋体" w:eastAsia="宋体" w:cs="宋体"/>
      <w:kern w:val="0"/>
      <w:sz w:val="24"/>
      <w:szCs w:val="24"/>
    </w:rPr>
  </w:style>
  <w:style w:type="paragraph" w:customStyle="1" w:styleId="51">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2">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3">
    <w:name w:val="pag_box11"/>
    <w:basedOn w:val="1"/>
    <w:qFormat/>
    <w:uiPriority w:val="0"/>
    <w:pPr>
      <w:widowControl/>
      <w:jc w:val="left"/>
    </w:pPr>
    <w:rPr>
      <w:rFonts w:ascii="宋体" w:hAnsi="宋体" w:eastAsia="宋体" w:cs="宋体"/>
      <w:kern w:val="0"/>
      <w:sz w:val="24"/>
      <w:szCs w:val="24"/>
    </w:rPr>
  </w:style>
  <w:style w:type="paragraph" w:customStyle="1" w:styleId="54">
    <w:name w:val="pag_box12"/>
    <w:basedOn w:val="1"/>
    <w:qFormat/>
    <w:uiPriority w:val="0"/>
    <w:pPr>
      <w:widowControl/>
      <w:jc w:val="left"/>
    </w:pPr>
    <w:rPr>
      <w:rFonts w:ascii="宋体" w:hAnsi="宋体" w:eastAsia="宋体" w:cs="宋体"/>
      <w:kern w:val="0"/>
      <w:sz w:val="24"/>
      <w:szCs w:val="24"/>
    </w:rPr>
  </w:style>
  <w:style w:type="paragraph" w:customStyle="1" w:styleId="55">
    <w:name w:val="pag_box13"/>
    <w:basedOn w:val="1"/>
    <w:qFormat/>
    <w:uiPriority w:val="0"/>
    <w:pPr>
      <w:widowControl/>
      <w:jc w:val="left"/>
    </w:pPr>
    <w:rPr>
      <w:rFonts w:ascii="宋体" w:hAnsi="宋体" w:eastAsia="宋体" w:cs="宋体"/>
      <w:kern w:val="0"/>
      <w:sz w:val="24"/>
      <w:szCs w:val="24"/>
    </w:rPr>
  </w:style>
  <w:style w:type="paragraph" w:customStyle="1" w:styleId="56">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7">
    <w:name w:val="pag_box16"/>
    <w:basedOn w:val="1"/>
    <w:qFormat/>
    <w:uiPriority w:val="0"/>
    <w:pPr>
      <w:widowControl/>
      <w:jc w:val="left"/>
    </w:pPr>
    <w:rPr>
      <w:rFonts w:ascii="宋体" w:hAnsi="宋体" w:eastAsia="宋体" w:cs="宋体"/>
      <w:kern w:val="0"/>
      <w:sz w:val="24"/>
      <w:szCs w:val="24"/>
    </w:rPr>
  </w:style>
  <w:style w:type="paragraph" w:customStyle="1" w:styleId="58">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9">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0">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1">
    <w:name w:val="pag_box21"/>
    <w:basedOn w:val="1"/>
    <w:qFormat/>
    <w:uiPriority w:val="0"/>
    <w:pPr>
      <w:widowControl/>
      <w:spacing w:before="450"/>
      <w:jc w:val="left"/>
    </w:pPr>
    <w:rPr>
      <w:rFonts w:ascii="宋体" w:hAnsi="宋体" w:eastAsia="宋体" w:cs="宋体"/>
      <w:kern w:val="0"/>
      <w:sz w:val="24"/>
      <w:szCs w:val="24"/>
    </w:rPr>
  </w:style>
  <w:style w:type="paragraph" w:customStyle="1" w:styleId="62">
    <w:name w:val="pag_box22"/>
    <w:basedOn w:val="1"/>
    <w:qFormat/>
    <w:uiPriority w:val="0"/>
    <w:pPr>
      <w:widowControl/>
      <w:jc w:val="left"/>
    </w:pPr>
    <w:rPr>
      <w:rFonts w:ascii="宋体" w:hAnsi="宋体" w:eastAsia="宋体" w:cs="宋体"/>
      <w:kern w:val="0"/>
      <w:sz w:val="24"/>
      <w:szCs w:val="24"/>
    </w:rPr>
  </w:style>
  <w:style w:type="paragraph" w:customStyle="1" w:styleId="63">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4">
    <w:name w:val="pag_box23"/>
    <w:basedOn w:val="1"/>
    <w:qFormat/>
    <w:uiPriority w:val="0"/>
    <w:pPr>
      <w:widowControl/>
      <w:ind w:left="90"/>
      <w:jc w:val="left"/>
    </w:pPr>
    <w:rPr>
      <w:rFonts w:ascii="宋体" w:hAnsi="宋体" w:eastAsia="宋体" w:cs="宋体"/>
      <w:kern w:val="0"/>
      <w:sz w:val="24"/>
      <w:szCs w:val="24"/>
    </w:rPr>
  </w:style>
  <w:style w:type="paragraph" w:customStyle="1" w:styleId="65">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6">
    <w:name w:val="pag_box24"/>
    <w:basedOn w:val="1"/>
    <w:qFormat/>
    <w:uiPriority w:val="0"/>
    <w:pPr>
      <w:widowControl/>
      <w:ind w:left="90"/>
      <w:jc w:val="left"/>
    </w:pPr>
    <w:rPr>
      <w:rFonts w:ascii="宋体" w:hAnsi="宋体" w:eastAsia="宋体" w:cs="宋体"/>
      <w:kern w:val="0"/>
      <w:sz w:val="24"/>
      <w:szCs w:val="24"/>
    </w:rPr>
  </w:style>
  <w:style w:type="paragraph" w:customStyle="1" w:styleId="67">
    <w:name w:val="pag_box25"/>
    <w:basedOn w:val="1"/>
    <w:qFormat/>
    <w:uiPriority w:val="0"/>
    <w:pPr>
      <w:widowControl/>
      <w:ind w:left="90"/>
      <w:jc w:val="left"/>
    </w:pPr>
    <w:rPr>
      <w:rFonts w:ascii="宋体" w:hAnsi="宋体" w:eastAsia="宋体" w:cs="宋体"/>
      <w:kern w:val="0"/>
      <w:sz w:val="24"/>
      <w:szCs w:val="24"/>
    </w:rPr>
  </w:style>
  <w:style w:type="paragraph" w:customStyle="1" w:styleId="68">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9">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0">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1">
    <w:name w:val="pag_box27"/>
    <w:basedOn w:val="1"/>
    <w:qFormat/>
    <w:uiPriority w:val="0"/>
    <w:pPr>
      <w:widowControl/>
      <w:spacing w:before="300"/>
      <w:jc w:val="left"/>
    </w:pPr>
    <w:rPr>
      <w:rFonts w:ascii="宋体" w:hAnsi="宋体" w:eastAsia="宋体" w:cs="宋体"/>
      <w:kern w:val="0"/>
      <w:sz w:val="24"/>
      <w:szCs w:val="24"/>
    </w:rPr>
  </w:style>
  <w:style w:type="paragraph" w:customStyle="1" w:styleId="72">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3">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4">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5">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6">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7">
    <w:name w:val="pag_box30"/>
    <w:basedOn w:val="1"/>
    <w:qFormat/>
    <w:uiPriority w:val="0"/>
    <w:pPr>
      <w:widowControl/>
      <w:spacing w:before="180"/>
      <w:jc w:val="left"/>
    </w:pPr>
    <w:rPr>
      <w:rFonts w:ascii="宋体" w:hAnsi="宋体" w:eastAsia="宋体" w:cs="宋体"/>
      <w:kern w:val="0"/>
      <w:sz w:val="24"/>
      <w:szCs w:val="24"/>
    </w:rPr>
  </w:style>
  <w:style w:type="paragraph" w:customStyle="1" w:styleId="78">
    <w:name w:val="pag_box31"/>
    <w:basedOn w:val="1"/>
    <w:qFormat/>
    <w:uiPriority w:val="0"/>
    <w:pPr>
      <w:widowControl/>
      <w:spacing w:before="630"/>
      <w:jc w:val="left"/>
    </w:pPr>
    <w:rPr>
      <w:rFonts w:ascii="宋体" w:hAnsi="宋体" w:eastAsia="宋体" w:cs="宋体"/>
      <w:kern w:val="0"/>
      <w:sz w:val="24"/>
      <w:szCs w:val="24"/>
    </w:rPr>
  </w:style>
  <w:style w:type="paragraph" w:customStyle="1" w:styleId="79">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0">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1">
    <w:name w:val="pag_box32"/>
    <w:basedOn w:val="1"/>
    <w:qFormat/>
    <w:uiPriority w:val="0"/>
    <w:pPr>
      <w:widowControl/>
      <w:ind w:right="300"/>
      <w:jc w:val="left"/>
    </w:pPr>
    <w:rPr>
      <w:rFonts w:ascii="宋体" w:hAnsi="宋体" w:eastAsia="宋体" w:cs="宋体"/>
      <w:kern w:val="0"/>
      <w:sz w:val="24"/>
      <w:szCs w:val="24"/>
    </w:rPr>
  </w:style>
  <w:style w:type="paragraph" w:customStyle="1" w:styleId="82">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3">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4">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5">
    <w:name w:val="pag_box34b"/>
    <w:basedOn w:val="1"/>
    <w:qFormat/>
    <w:uiPriority w:val="0"/>
    <w:pPr>
      <w:widowControl/>
      <w:spacing w:before="300"/>
      <w:jc w:val="left"/>
    </w:pPr>
    <w:rPr>
      <w:rFonts w:ascii="宋体" w:hAnsi="宋体" w:eastAsia="宋体" w:cs="宋体"/>
      <w:kern w:val="0"/>
      <w:sz w:val="24"/>
      <w:szCs w:val="24"/>
    </w:rPr>
  </w:style>
  <w:style w:type="paragraph" w:customStyle="1" w:styleId="86">
    <w:name w:val="pag_text24"/>
    <w:basedOn w:val="1"/>
    <w:qFormat/>
    <w:uiPriority w:val="0"/>
    <w:pPr>
      <w:widowControl/>
      <w:jc w:val="left"/>
    </w:pPr>
    <w:rPr>
      <w:rFonts w:ascii="宋体" w:hAnsi="宋体" w:eastAsia="宋体" w:cs="宋体"/>
      <w:kern w:val="0"/>
      <w:sz w:val="24"/>
      <w:szCs w:val="24"/>
    </w:rPr>
  </w:style>
  <w:style w:type="paragraph" w:customStyle="1" w:styleId="87">
    <w:name w:val="pag_box35"/>
    <w:basedOn w:val="1"/>
    <w:qFormat/>
    <w:uiPriority w:val="0"/>
    <w:pPr>
      <w:widowControl/>
      <w:spacing w:before="900"/>
      <w:jc w:val="left"/>
    </w:pPr>
    <w:rPr>
      <w:rFonts w:ascii="宋体" w:hAnsi="宋体" w:eastAsia="宋体" w:cs="宋体"/>
      <w:kern w:val="0"/>
      <w:sz w:val="24"/>
      <w:szCs w:val="24"/>
    </w:rPr>
  </w:style>
  <w:style w:type="paragraph" w:customStyle="1" w:styleId="88">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9">
    <w:name w:val="pag_box18"/>
    <w:basedOn w:val="1"/>
    <w:qFormat/>
    <w:uiPriority w:val="0"/>
    <w:pPr>
      <w:widowControl/>
      <w:jc w:val="left"/>
    </w:pPr>
    <w:rPr>
      <w:rFonts w:ascii="宋体" w:hAnsi="宋体" w:eastAsia="宋体" w:cs="宋体"/>
      <w:kern w:val="0"/>
      <w:sz w:val="24"/>
      <w:szCs w:val="24"/>
    </w:rPr>
  </w:style>
  <w:style w:type="paragraph" w:customStyle="1" w:styleId="90">
    <w:name w:val="pag_formgroup"/>
    <w:basedOn w:val="1"/>
    <w:qFormat/>
    <w:uiPriority w:val="0"/>
    <w:pPr>
      <w:widowControl/>
      <w:jc w:val="left"/>
    </w:pPr>
    <w:rPr>
      <w:rFonts w:ascii="宋体" w:hAnsi="宋体" w:eastAsia="宋体" w:cs="宋体"/>
      <w:kern w:val="0"/>
      <w:sz w:val="24"/>
      <w:szCs w:val="24"/>
    </w:rPr>
  </w:style>
  <w:style w:type="paragraph" w:customStyle="1" w:styleId="91">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2">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3">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4">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5">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6">
    <w:name w:val="pag_image2"/>
    <w:basedOn w:val="1"/>
    <w:qFormat/>
    <w:uiPriority w:val="0"/>
    <w:pPr>
      <w:widowControl/>
      <w:jc w:val="left"/>
    </w:pPr>
    <w:rPr>
      <w:rFonts w:ascii="宋体" w:hAnsi="宋体" w:eastAsia="宋体" w:cs="宋体"/>
      <w:color w:val="000000"/>
      <w:kern w:val="0"/>
      <w:sz w:val="24"/>
      <w:szCs w:val="24"/>
    </w:rPr>
  </w:style>
  <w:style w:type="paragraph" w:customStyle="1" w:styleId="97">
    <w:name w:val="pag_box37"/>
    <w:basedOn w:val="1"/>
    <w:qFormat/>
    <w:uiPriority w:val="0"/>
    <w:pPr>
      <w:widowControl/>
      <w:spacing w:before="300"/>
      <w:jc w:val="left"/>
    </w:pPr>
    <w:rPr>
      <w:rFonts w:ascii="宋体" w:hAnsi="宋体" w:eastAsia="宋体" w:cs="宋体"/>
      <w:kern w:val="0"/>
      <w:sz w:val="24"/>
      <w:szCs w:val="24"/>
    </w:rPr>
  </w:style>
  <w:style w:type="paragraph" w:customStyle="1" w:styleId="98">
    <w:name w:val="pag_box38"/>
    <w:basedOn w:val="1"/>
    <w:qFormat/>
    <w:uiPriority w:val="0"/>
    <w:pPr>
      <w:widowControl/>
      <w:spacing w:before="300"/>
      <w:jc w:val="left"/>
    </w:pPr>
    <w:rPr>
      <w:rFonts w:ascii="宋体" w:hAnsi="宋体" w:eastAsia="宋体" w:cs="宋体"/>
      <w:kern w:val="0"/>
      <w:sz w:val="24"/>
      <w:szCs w:val="24"/>
    </w:rPr>
  </w:style>
  <w:style w:type="paragraph" w:customStyle="1" w:styleId="99">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0">
    <w:name w:val="pag_box40"/>
    <w:basedOn w:val="1"/>
    <w:qFormat/>
    <w:uiPriority w:val="0"/>
    <w:pPr>
      <w:widowControl/>
      <w:jc w:val="left"/>
    </w:pPr>
    <w:rPr>
      <w:rFonts w:ascii="宋体" w:hAnsi="宋体" w:eastAsia="宋体" w:cs="宋体"/>
      <w:kern w:val="0"/>
      <w:sz w:val="24"/>
      <w:szCs w:val="24"/>
    </w:rPr>
  </w:style>
  <w:style w:type="paragraph" w:customStyle="1" w:styleId="101">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102">
    <w:name w:val="pag_box43"/>
    <w:basedOn w:val="1"/>
    <w:qFormat/>
    <w:uiPriority w:val="0"/>
    <w:pPr>
      <w:widowControl/>
      <w:jc w:val="left"/>
    </w:pPr>
    <w:rPr>
      <w:rFonts w:ascii="宋体" w:hAnsi="宋体" w:eastAsia="宋体" w:cs="宋体"/>
      <w:kern w:val="0"/>
      <w:sz w:val="24"/>
      <w:szCs w:val="24"/>
    </w:rPr>
  </w:style>
  <w:style w:type="paragraph" w:customStyle="1" w:styleId="103">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4">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5">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6">
    <w:name w:val="subnavbox"/>
    <w:basedOn w:val="1"/>
    <w:qFormat/>
    <w:uiPriority w:val="0"/>
    <w:pPr>
      <w:widowControl/>
      <w:jc w:val="left"/>
    </w:pPr>
    <w:rPr>
      <w:rFonts w:ascii="宋体" w:hAnsi="宋体" w:eastAsia="宋体" w:cs="宋体"/>
      <w:kern w:val="0"/>
      <w:sz w:val="24"/>
      <w:szCs w:val="24"/>
    </w:rPr>
  </w:style>
  <w:style w:type="paragraph" w:customStyle="1" w:styleId="107">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8">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9">
    <w:name w:val="currentdt"/>
    <w:basedOn w:val="1"/>
    <w:qFormat/>
    <w:uiPriority w:val="0"/>
    <w:pPr>
      <w:widowControl/>
      <w:jc w:val="left"/>
    </w:pPr>
    <w:rPr>
      <w:rFonts w:ascii="宋体" w:hAnsi="宋体" w:eastAsia="宋体" w:cs="宋体"/>
      <w:kern w:val="0"/>
      <w:sz w:val="24"/>
      <w:szCs w:val="24"/>
    </w:rPr>
  </w:style>
  <w:style w:type="paragraph" w:customStyle="1" w:styleId="110">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1">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12">
    <w:name w:val="inx_box"/>
    <w:basedOn w:val="1"/>
    <w:qFormat/>
    <w:uiPriority w:val="0"/>
    <w:pPr>
      <w:widowControl/>
      <w:jc w:val="left"/>
    </w:pPr>
    <w:rPr>
      <w:rFonts w:ascii="宋体" w:hAnsi="宋体" w:eastAsia="宋体" w:cs="宋体"/>
      <w:kern w:val="0"/>
      <w:sz w:val="24"/>
      <w:szCs w:val="24"/>
    </w:rPr>
  </w:style>
  <w:style w:type="paragraph" w:customStyle="1" w:styleId="113">
    <w:name w:val="inx_image"/>
    <w:basedOn w:val="1"/>
    <w:qFormat/>
    <w:uiPriority w:val="0"/>
    <w:pPr>
      <w:widowControl/>
      <w:jc w:val="left"/>
    </w:pPr>
    <w:rPr>
      <w:rFonts w:ascii="宋体" w:hAnsi="宋体" w:eastAsia="宋体" w:cs="宋体"/>
      <w:color w:val="000000"/>
      <w:kern w:val="0"/>
      <w:sz w:val="24"/>
      <w:szCs w:val="24"/>
    </w:rPr>
  </w:style>
  <w:style w:type="paragraph" w:customStyle="1" w:styleId="114">
    <w:name w:val="inx_box1"/>
    <w:basedOn w:val="1"/>
    <w:qFormat/>
    <w:uiPriority w:val="0"/>
    <w:pPr>
      <w:widowControl/>
      <w:spacing w:before="540"/>
      <w:jc w:val="left"/>
    </w:pPr>
    <w:rPr>
      <w:rFonts w:ascii="宋体" w:hAnsi="宋体" w:eastAsia="宋体" w:cs="宋体"/>
      <w:kern w:val="0"/>
      <w:sz w:val="24"/>
      <w:szCs w:val="24"/>
    </w:rPr>
  </w:style>
  <w:style w:type="paragraph" w:customStyle="1" w:styleId="115">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6">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7">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8">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9">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20">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21">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22">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3">
    <w:name w:val="inx_box8"/>
    <w:basedOn w:val="1"/>
    <w:qFormat/>
    <w:uiPriority w:val="0"/>
    <w:pPr>
      <w:widowControl/>
      <w:spacing w:before="150"/>
      <w:jc w:val="left"/>
    </w:pPr>
    <w:rPr>
      <w:rFonts w:ascii="宋体" w:hAnsi="宋体" w:eastAsia="宋体" w:cs="宋体"/>
      <w:kern w:val="0"/>
      <w:sz w:val="24"/>
      <w:szCs w:val="24"/>
    </w:rPr>
  </w:style>
  <w:style w:type="paragraph" w:customStyle="1" w:styleId="124">
    <w:name w:val="inx_image1"/>
    <w:basedOn w:val="1"/>
    <w:qFormat/>
    <w:uiPriority w:val="0"/>
    <w:pPr>
      <w:widowControl/>
      <w:jc w:val="left"/>
    </w:pPr>
    <w:rPr>
      <w:rFonts w:ascii="宋体" w:hAnsi="宋体" w:eastAsia="宋体" w:cs="宋体"/>
      <w:color w:val="000000"/>
      <w:kern w:val="0"/>
      <w:sz w:val="24"/>
      <w:szCs w:val="24"/>
    </w:rPr>
  </w:style>
  <w:style w:type="paragraph" w:customStyle="1" w:styleId="125">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6">
    <w:name w:val="inx_box10"/>
    <w:basedOn w:val="1"/>
    <w:qFormat/>
    <w:uiPriority w:val="0"/>
    <w:pPr>
      <w:widowControl/>
      <w:spacing w:before="150"/>
      <w:jc w:val="left"/>
    </w:pPr>
    <w:rPr>
      <w:rFonts w:ascii="宋体" w:hAnsi="宋体" w:eastAsia="宋体" w:cs="宋体"/>
      <w:kern w:val="0"/>
      <w:sz w:val="24"/>
      <w:szCs w:val="24"/>
    </w:rPr>
  </w:style>
  <w:style w:type="paragraph" w:customStyle="1" w:styleId="127">
    <w:name w:val="inx_box11"/>
    <w:basedOn w:val="1"/>
    <w:qFormat/>
    <w:uiPriority w:val="0"/>
    <w:pPr>
      <w:widowControl/>
      <w:jc w:val="left"/>
    </w:pPr>
    <w:rPr>
      <w:rFonts w:ascii="宋体" w:hAnsi="宋体" w:eastAsia="宋体" w:cs="宋体"/>
      <w:kern w:val="0"/>
      <w:sz w:val="24"/>
      <w:szCs w:val="24"/>
    </w:rPr>
  </w:style>
  <w:style w:type="paragraph" w:customStyle="1" w:styleId="128">
    <w:name w:val="inx_image2"/>
    <w:basedOn w:val="1"/>
    <w:qFormat/>
    <w:uiPriority w:val="0"/>
    <w:pPr>
      <w:widowControl/>
      <w:jc w:val="left"/>
    </w:pPr>
    <w:rPr>
      <w:rFonts w:ascii="宋体" w:hAnsi="宋体" w:eastAsia="宋体" w:cs="宋体"/>
      <w:color w:val="000000"/>
      <w:kern w:val="0"/>
      <w:sz w:val="24"/>
      <w:szCs w:val="24"/>
    </w:rPr>
  </w:style>
  <w:style w:type="paragraph" w:customStyle="1" w:styleId="129">
    <w:name w:val="inx_box12"/>
    <w:basedOn w:val="1"/>
    <w:qFormat/>
    <w:uiPriority w:val="0"/>
    <w:pPr>
      <w:widowControl/>
      <w:jc w:val="left"/>
    </w:pPr>
    <w:rPr>
      <w:rFonts w:ascii="宋体" w:hAnsi="宋体" w:eastAsia="宋体" w:cs="宋体"/>
      <w:kern w:val="0"/>
      <w:sz w:val="24"/>
      <w:szCs w:val="24"/>
    </w:rPr>
  </w:style>
  <w:style w:type="paragraph" w:customStyle="1" w:styleId="130">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1">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2">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3">
    <w:name w:val="inx_box14"/>
    <w:basedOn w:val="1"/>
    <w:qFormat/>
    <w:uiPriority w:val="0"/>
    <w:pPr>
      <w:widowControl/>
      <w:ind w:left="240"/>
      <w:jc w:val="left"/>
    </w:pPr>
    <w:rPr>
      <w:rFonts w:ascii="宋体" w:hAnsi="宋体" w:eastAsia="宋体" w:cs="宋体"/>
      <w:kern w:val="0"/>
      <w:sz w:val="24"/>
      <w:szCs w:val="24"/>
    </w:rPr>
  </w:style>
  <w:style w:type="paragraph" w:customStyle="1" w:styleId="134">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5">
    <w:name w:val="inx_box15"/>
    <w:basedOn w:val="1"/>
    <w:qFormat/>
    <w:uiPriority w:val="0"/>
    <w:pPr>
      <w:widowControl/>
      <w:jc w:val="left"/>
    </w:pPr>
    <w:rPr>
      <w:rFonts w:ascii="宋体" w:hAnsi="宋体" w:eastAsia="宋体" w:cs="宋体"/>
      <w:kern w:val="0"/>
      <w:sz w:val="24"/>
      <w:szCs w:val="24"/>
    </w:rPr>
  </w:style>
  <w:style w:type="paragraph" w:customStyle="1" w:styleId="136">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7">
    <w:name w:val="inx_box16"/>
    <w:basedOn w:val="1"/>
    <w:qFormat/>
    <w:uiPriority w:val="0"/>
    <w:pPr>
      <w:widowControl/>
      <w:jc w:val="left"/>
    </w:pPr>
    <w:rPr>
      <w:rFonts w:ascii="宋体" w:hAnsi="宋体" w:eastAsia="宋体" w:cs="宋体"/>
      <w:kern w:val="0"/>
      <w:sz w:val="24"/>
      <w:szCs w:val="24"/>
    </w:rPr>
  </w:style>
  <w:style w:type="paragraph" w:customStyle="1" w:styleId="138">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9">
    <w:name w:val="inx_box17"/>
    <w:basedOn w:val="1"/>
    <w:qFormat/>
    <w:uiPriority w:val="0"/>
    <w:pPr>
      <w:widowControl/>
      <w:spacing w:before="150"/>
      <w:jc w:val="left"/>
    </w:pPr>
    <w:rPr>
      <w:rFonts w:ascii="宋体" w:hAnsi="宋体" w:eastAsia="宋体" w:cs="宋体"/>
      <w:kern w:val="0"/>
      <w:sz w:val="24"/>
      <w:szCs w:val="24"/>
    </w:rPr>
  </w:style>
  <w:style w:type="paragraph" w:customStyle="1" w:styleId="140">
    <w:name w:val="inx_box18"/>
    <w:basedOn w:val="1"/>
    <w:qFormat/>
    <w:uiPriority w:val="0"/>
    <w:pPr>
      <w:widowControl/>
      <w:spacing w:before="240"/>
      <w:jc w:val="left"/>
    </w:pPr>
    <w:rPr>
      <w:rFonts w:ascii="宋体" w:hAnsi="宋体" w:eastAsia="宋体" w:cs="宋体"/>
      <w:kern w:val="0"/>
      <w:sz w:val="24"/>
      <w:szCs w:val="24"/>
    </w:rPr>
  </w:style>
  <w:style w:type="paragraph" w:customStyle="1" w:styleId="141">
    <w:name w:val="inx_box19"/>
    <w:basedOn w:val="1"/>
    <w:qFormat/>
    <w:uiPriority w:val="0"/>
    <w:pPr>
      <w:widowControl/>
      <w:jc w:val="left"/>
    </w:pPr>
    <w:rPr>
      <w:rFonts w:ascii="宋体" w:hAnsi="宋体" w:eastAsia="宋体" w:cs="宋体"/>
      <w:kern w:val="0"/>
      <w:sz w:val="24"/>
      <w:szCs w:val="24"/>
    </w:rPr>
  </w:style>
  <w:style w:type="paragraph" w:customStyle="1" w:styleId="142">
    <w:name w:val="inx_box20"/>
    <w:basedOn w:val="1"/>
    <w:qFormat/>
    <w:uiPriority w:val="0"/>
    <w:pPr>
      <w:widowControl/>
      <w:spacing w:before="375"/>
      <w:jc w:val="left"/>
    </w:pPr>
    <w:rPr>
      <w:rFonts w:ascii="宋体" w:hAnsi="宋体" w:eastAsia="宋体" w:cs="宋体"/>
      <w:kern w:val="0"/>
      <w:sz w:val="24"/>
      <w:szCs w:val="24"/>
    </w:rPr>
  </w:style>
  <w:style w:type="paragraph" w:customStyle="1" w:styleId="143">
    <w:name w:val="inx_box22"/>
    <w:basedOn w:val="1"/>
    <w:qFormat/>
    <w:uiPriority w:val="0"/>
    <w:pPr>
      <w:widowControl/>
      <w:jc w:val="left"/>
    </w:pPr>
    <w:rPr>
      <w:rFonts w:ascii="宋体" w:hAnsi="宋体" w:eastAsia="宋体" w:cs="宋体"/>
      <w:kern w:val="0"/>
      <w:sz w:val="24"/>
      <w:szCs w:val="24"/>
    </w:rPr>
  </w:style>
  <w:style w:type="paragraph" w:customStyle="1" w:styleId="144">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5">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6">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7">
    <w:name w:val="tbimg"/>
    <w:basedOn w:val="1"/>
    <w:qFormat/>
    <w:uiPriority w:val="0"/>
    <w:pPr>
      <w:widowControl/>
      <w:spacing w:before="90"/>
      <w:jc w:val="left"/>
    </w:pPr>
    <w:rPr>
      <w:rFonts w:ascii="宋体" w:hAnsi="宋体" w:eastAsia="宋体" w:cs="宋体"/>
      <w:kern w:val="0"/>
      <w:sz w:val="24"/>
      <w:szCs w:val="24"/>
    </w:rPr>
  </w:style>
  <w:style w:type="paragraph" w:customStyle="1" w:styleId="148">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9">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50">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1">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2">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3">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4">
    <w:name w:val="inx_text11"/>
    <w:basedOn w:val="1"/>
    <w:qFormat/>
    <w:uiPriority w:val="0"/>
    <w:pPr>
      <w:widowControl/>
      <w:spacing w:before="90"/>
      <w:jc w:val="left"/>
    </w:pPr>
    <w:rPr>
      <w:rFonts w:ascii="宋体" w:hAnsi="宋体" w:eastAsia="宋体" w:cs="宋体"/>
      <w:kern w:val="0"/>
      <w:sz w:val="24"/>
      <w:szCs w:val="24"/>
    </w:rPr>
  </w:style>
  <w:style w:type="paragraph" w:customStyle="1" w:styleId="155">
    <w:name w:val="inx_box28"/>
    <w:basedOn w:val="1"/>
    <w:qFormat/>
    <w:uiPriority w:val="0"/>
    <w:pPr>
      <w:widowControl/>
      <w:spacing w:before="240"/>
      <w:jc w:val="left"/>
    </w:pPr>
    <w:rPr>
      <w:rFonts w:ascii="宋体" w:hAnsi="宋体" w:eastAsia="宋体" w:cs="宋体"/>
      <w:kern w:val="0"/>
      <w:sz w:val="24"/>
      <w:szCs w:val="24"/>
    </w:rPr>
  </w:style>
  <w:style w:type="paragraph" w:customStyle="1" w:styleId="156">
    <w:name w:val="inx_image4"/>
    <w:basedOn w:val="1"/>
    <w:qFormat/>
    <w:uiPriority w:val="0"/>
    <w:pPr>
      <w:widowControl/>
      <w:jc w:val="left"/>
    </w:pPr>
    <w:rPr>
      <w:rFonts w:ascii="宋体" w:hAnsi="宋体" w:eastAsia="宋体" w:cs="宋体"/>
      <w:color w:val="000000"/>
      <w:kern w:val="0"/>
      <w:sz w:val="24"/>
      <w:szCs w:val="24"/>
    </w:rPr>
  </w:style>
  <w:style w:type="paragraph" w:customStyle="1" w:styleId="157">
    <w:name w:val="inx_box29"/>
    <w:basedOn w:val="1"/>
    <w:qFormat/>
    <w:uiPriority w:val="0"/>
    <w:pPr>
      <w:widowControl/>
      <w:spacing w:before="300"/>
      <w:jc w:val="left"/>
    </w:pPr>
    <w:rPr>
      <w:rFonts w:ascii="宋体" w:hAnsi="宋体" w:eastAsia="宋体" w:cs="宋体"/>
      <w:kern w:val="0"/>
      <w:sz w:val="24"/>
      <w:szCs w:val="24"/>
    </w:rPr>
  </w:style>
  <w:style w:type="paragraph" w:customStyle="1" w:styleId="158">
    <w:name w:val="inx_box30"/>
    <w:basedOn w:val="1"/>
    <w:qFormat/>
    <w:uiPriority w:val="0"/>
    <w:pPr>
      <w:widowControl/>
      <w:jc w:val="left"/>
    </w:pPr>
    <w:rPr>
      <w:rFonts w:ascii="宋体" w:hAnsi="宋体" w:eastAsia="宋体" w:cs="宋体"/>
      <w:kern w:val="0"/>
      <w:sz w:val="24"/>
      <w:szCs w:val="24"/>
    </w:rPr>
  </w:style>
  <w:style w:type="paragraph" w:customStyle="1" w:styleId="159">
    <w:name w:val="inx_box43"/>
    <w:basedOn w:val="1"/>
    <w:qFormat/>
    <w:uiPriority w:val="0"/>
    <w:pPr>
      <w:widowControl/>
      <w:jc w:val="left"/>
    </w:pPr>
    <w:rPr>
      <w:rFonts w:ascii="宋体" w:hAnsi="宋体" w:eastAsia="宋体" w:cs="宋体"/>
      <w:kern w:val="0"/>
      <w:sz w:val="24"/>
      <w:szCs w:val="24"/>
    </w:rPr>
  </w:style>
  <w:style w:type="paragraph" w:customStyle="1" w:styleId="160">
    <w:name w:val="inx_box21"/>
    <w:basedOn w:val="1"/>
    <w:qFormat/>
    <w:uiPriority w:val="0"/>
    <w:pPr>
      <w:widowControl/>
      <w:spacing w:after="225"/>
      <w:jc w:val="left"/>
    </w:pPr>
    <w:rPr>
      <w:rFonts w:ascii="宋体" w:hAnsi="宋体" w:eastAsia="宋体" w:cs="宋体"/>
      <w:kern w:val="0"/>
      <w:sz w:val="24"/>
      <w:szCs w:val="24"/>
    </w:rPr>
  </w:style>
  <w:style w:type="paragraph" w:customStyle="1" w:styleId="161">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2">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3">
    <w:name w:val="inx_box31"/>
    <w:basedOn w:val="1"/>
    <w:qFormat/>
    <w:uiPriority w:val="0"/>
    <w:pPr>
      <w:widowControl/>
      <w:jc w:val="left"/>
    </w:pPr>
    <w:rPr>
      <w:rFonts w:ascii="宋体" w:hAnsi="宋体" w:eastAsia="宋体" w:cs="宋体"/>
      <w:kern w:val="0"/>
      <w:sz w:val="24"/>
      <w:szCs w:val="24"/>
    </w:rPr>
  </w:style>
  <w:style w:type="paragraph" w:customStyle="1" w:styleId="164">
    <w:name w:val="inx_box33"/>
    <w:basedOn w:val="1"/>
    <w:qFormat/>
    <w:uiPriority w:val="0"/>
    <w:pPr>
      <w:widowControl/>
      <w:jc w:val="left"/>
    </w:pPr>
    <w:rPr>
      <w:rFonts w:ascii="宋体" w:hAnsi="宋体" w:eastAsia="宋体" w:cs="宋体"/>
      <w:kern w:val="0"/>
      <w:sz w:val="24"/>
      <w:szCs w:val="24"/>
    </w:rPr>
  </w:style>
  <w:style w:type="paragraph" w:customStyle="1" w:styleId="165">
    <w:name w:val="inx_box34"/>
    <w:basedOn w:val="1"/>
    <w:qFormat/>
    <w:uiPriority w:val="0"/>
    <w:pPr>
      <w:widowControl/>
      <w:jc w:val="left"/>
    </w:pPr>
    <w:rPr>
      <w:rFonts w:ascii="宋体" w:hAnsi="宋体" w:eastAsia="宋体" w:cs="宋体"/>
      <w:kern w:val="0"/>
      <w:sz w:val="24"/>
      <w:szCs w:val="24"/>
    </w:rPr>
  </w:style>
  <w:style w:type="paragraph" w:customStyle="1" w:styleId="166">
    <w:name w:val="inx_box35"/>
    <w:basedOn w:val="1"/>
    <w:qFormat/>
    <w:uiPriority w:val="0"/>
    <w:pPr>
      <w:widowControl/>
      <w:jc w:val="left"/>
    </w:pPr>
    <w:rPr>
      <w:rFonts w:ascii="宋体" w:hAnsi="宋体" w:eastAsia="宋体" w:cs="宋体"/>
      <w:kern w:val="0"/>
      <w:sz w:val="24"/>
      <w:szCs w:val="24"/>
    </w:rPr>
  </w:style>
  <w:style w:type="paragraph" w:customStyle="1" w:styleId="167">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8">
    <w:name w:val="inx_box36"/>
    <w:basedOn w:val="1"/>
    <w:qFormat/>
    <w:uiPriority w:val="0"/>
    <w:pPr>
      <w:widowControl/>
      <w:jc w:val="left"/>
    </w:pPr>
    <w:rPr>
      <w:rFonts w:ascii="宋体" w:hAnsi="宋体" w:eastAsia="宋体" w:cs="宋体"/>
      <w:kern w:val="0"/>
      <w:sz w:val="24"/>
      <w:szCs w:val="24"/>
    </w:rPr>
  </w:style>
  <w:style w:type="paragraph" w:customStyle="1" w:styleId="169">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0">
    <w:name w:val="inx_box37"/>
    <w:basedOn w:val="1"/>
    <w:qFormat/>
    <w:uiPriority w:val="0"/>
    <w:pPr>
      <w:widowControl/>
      <w:spacing w:before="120"/>
      <w:jc w:val="left"/>
    </w:pPr>
    <w:rPr>
      <w:rFonts w:ascii="宋体" w:hAnsi="宋体" w:eastAsia="宋体" w:cs="宋体"/>
      <w:kern w:val="0"/>
      <w:sz w:val="24"/>
      <w:szCs w:val="24"/>
    </w:rPr>
  </w:style>
  <w:style w:type="paragraph" w:customStyle="1" w:styleId="171">
    <w:name w:val="inx_box38"/>
    <w:basedOn w:val="1"/>
    <w:qFormat/>
    <w:uiPriority w:val="0"/>
    <w:pPr>
      <w:widowControl/>
      <w:jc w:val="left"/>
    </w:pPr>
    <w:rPr>
      <w:rFonts w:ascii="宋体" w:hAnsi="宋体" w:eastAsia="宋体" w:cs="宋体"/>
      <w:kern w:val="0"/>
      <w:sz w:val="24"/>
      <w:szCs w:val="24"/>
    </w:rPr>
  </w:style>
  <w:style w:type="paragraph" w:customStyle="1" w:styleId="172">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3">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4">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5">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6">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7">
    <w:name w:val="inx_box39"/>
    <w:basedOn w:val="1"/>
    <w:qFormat/>
    <w:uiPriority w:val="0"/>
    <w:pPr>
      <w:widowControl/>
      <w:spacing w:before="180"/>
      <w:jc w:val="left"/>
    </w:pPr>
    <w:rPr>
      <w:rFonts w:ascii="宋体" w:hAnsi="宋体" w:eastAsia="宋体" w:cs="宋体"/>
      <w:kern w:val="0"/>
      <w:sz w:val="24"/>
      <w:szCs w:val="24"/>
    </w:rPr>
  </w:style>
  <w:style w:type="paragraph" w:customStyle="1" w:styleId="178">
    <w:name w:val="inx_box42"/>
    <w:basedOn w:val="1"/>
    <w:qFormat/>
    <w:uiPriority w:val="0"/>
    <w:pPr>
      <w:widowControl/>
      <w:spacing w:before="180"/>
      <w:jc w:val="left"/>
    </w:pPr>
    <w:rPr>
      <w:rFonts w:ascii="宋体" w:hAnsi="宋体" w:eastAsia="宋体" w:cs="宋体"/>
      <w:kern w:val="0"/>
      <w:sz w:val="24"/>
      <w:szCs w:val="24"/>
    </w:rPr>
  </w:style>
  <w:style w:type="paragraph" w:customStyle="1" w:styleId="179">
    <w:name w:val="inx_box42b"/>
    <w:basedOn w:val="1"/>
    <w:qFormat/>
    <w:uiPriority w:val="0"/>
    <w:pPr>
      <w:widowControl/>
      <w:spacing w:before="300"/>
      <w:jc w:val="left"/>
    </w:pPr>
    <w:rPr>
      <w:rFonts w:ascii="宋体" w:hAnsi="宋体" w:eastAsia="宋体" w:cs="宋体"/>
      <w:kern w:val="0"/>
      <w:sz w:val="24"/>
      <w:szCs w:val="24"/>
    </w:rPr>
  </w:style>
  <w:style w:type="paragraph" w:customStyle="1" w:styleId="180">
    <w:name w:val="inx_box41"/>
    <w:basedOn w:val="1"/>
    <w:qFormat/>
    <w:uiPriority w:val="0"/>
    <w:pPr>
      <w:widowControl/>
      <w:spacing w:before="240"/>
      <w:jc w:val="left"/>
    </w:pPr>
    <w:rPr>
      <w:rFonts w:ascii="宋体" w:hAnsi="宋体" w:eastAsia="宋体" w:cs="宋体"/>
      <w:kern w:val="0"/>
      <w:sz w:val="24"/>
      <w:szCs w:val="24"/>
    </w:rPr>
  </w:style>
  <w:style w:type="paragraph" w:customStyle="1" w:styleId="181">
    <w:name w:val="inx_box40"/>
    <w:basedOn w:val="1"/>
    <w:qFormat/>
    <w:uiPriority w:val="0"/>
    <w:pPr>
      <w:widowControl/>
      <w:spacing w:before="240"/>
      <w:jc w:val="left"/>
    </w:pPr>
    <w:rPr>
      <w:rFonts w:ascii="宋体" w:hAnsi="宋体" w:eastAsia="宋体" w:cs="宋体"/>
      <w:kern w:val="0"/>
      <w:sz w:val="24"/>
      <w:szCs w:val="24"/>
    </w:rPr>
  </w:style>
  <w:style w:type="paragraph" w:customStyle="1" w:styleId="182">
    <w:name w:val="inx_image5"/>
    <w:basedOn w:val="1"/>
    <w:qFormat/>
    <w:uiPriority w:val="0"/>
    <w:pPr>
      <w:widowControl/>
      <w:jc w:val="left"/>
    </w:pPr>
    <w:rPr>
      <w:rFonts w:ascii="宋体" w:hAnsi="宋体" w:eastAsia="宋体" w:cs="宋体"/>
      <w:color w:val="000000"/>
      <w:kern w:val="0"/>
      <w:sz w:val="24"/>
      <w:szCs w:val="24"/>
    </w:rPr>
  </w:style>
  <w:style w:type="paragraph" w:customStyle="1" w:styleId="183">
    <w:name w:val="inx_box44"/>
    <w:basedOn w:val="1"/>
    <w:qFormat/>
    <w:uiPriority w:val="0"/>
    <w:pPr>
      <w:widowControl/>
      <w:jc w:val="left"/>
    </w:pPr>
    <w:rPr>
      <w:rFonts w:ascii="宋体" w:hAnsi="宋体" w:eastAsia="宋体" w:cs="宋体"/>
      <w:kern w:val="0"/>
      <w:sz w:val="24"/>
      <w:szCs w:val="24"/>
    </w:rPr>
  </w:style>
  <w:style w:type="paragraph" w:customStyle="1" w:styleId="184">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5">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6">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7">
    <w:name w:val="inx_box46"/>
    <w:basedOn w:val="1"/>
    <w:qFormat/>
    <w:uiPriority w:val="0"/>
    <w:pPr>
      <w:widowControl/>
      <w:spacing w:before="75"/>
      <w:jc w:val="left"/>
    </w:pPr>
    <w:rPr>
      <w:rFonts w:ascii="宋体" w:hAnsi="宋体" w:eastAsia="宋体" w:cs="宋体"/>
      <w:kern w:val="0"/>
      <w:sz w:val="24"/>
      <w:szCs w:val="24"/>
    </w:rPr>
  </w:style>
  <w:style w:type="paragraph" w:customStyle="1" w:styleId="188">
    <w:name w:val="inx_box47"/>
    <w:basedOn w:val="1"/>
    <w:qFormat/>
    <w:uiPriority w:val="0"/>
    <w:pPr>
      <w:widowControl/>
      <w:jc w:val="left"/>
    </w:pPr>
    <w:rPr>
      <w:rFonts w:ascii="宋体" w:hAnsi="宋体" w:eastAsia="宋体" w:cs="宋体"/>
      <w:kern w:val="0"/>
      <w:sz w:val="24"/>
      <w:szCs w:val="24"/>
    </w:rPr>
  </w:style>
  <w:style w:type="paragraph" w:customStyle="1" w:styleId="189">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0">
    <w:name w:val="inx_image7"/>
    <w:basedOn w:val="1"/>
    <w:qFormat/>
    <w:uiPriority w:val="0"/>
    <w:pPr>
      <w:widowControl/>
      <w:jc w:val="left"/>
    </w:pPr>
    <w:rPr>
      <w:rFonts w:ascii="宋体" w:hAnsi="宋体" w:eastAsia="宋体" w:cs="宋体"/>
      <w:color w:val="000000"/>
      <w:kern w:val="0"/>
      <w:sz w:val="24"/>
      <w:szCs w:val="24"/>
    </w:rPr>
  </w:style>
  <w:style w:type="paragraph" w:customStyle="1" w:styleId="191">
    <w:name w:val="inx_image8"/>
    <w:basedOn w:val="1"/>
    <w:qFormat/>
    <w:uiPriority w:val="0"/>
    <w:pPr>
      <w:widowControl/>
      <w:jc w:val="left"/>
    </w:pPr>
    <w:rPr>
      <w:rFonts w:ascii="宋体" w:hAnsi="宋体" w:eastAsia="宋体" w:cs="宋体"/>
      <w:color w:val="000000"/>
      <w:kern w:val="0"/>
      <w:sz w:val="24"/>
      <w:szCs w:val="24"/>
    </w:rPr>
  </w:style>
  <w:style w:type="paragraph" w:customStyle="1" w:styleId="192">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3">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4">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5">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6">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7">
    <w:name w:val="inx_box50"/>
    <w:basedOn w:val="1"/>
    <w:qFormat/>
    <w:uiPriority w:val="0"/>
    <w:pPr>
      <w:widowControl/>
      <w:spacing w:before="300"/>
      <w:jc w:val="left"/>
    </w:pPr>
    <w:rPr>
      <w:rFonts w:ascii="宋体" w:hAnsi="宋体" w:eastAsia="宋体" w:cs="宋体"/>
      <w:kern w:val="0"/>
      <w:sz w:val="24"/>
      <w:szCs w:val="24"/>
    </w:rPr>
  </w:style>
  <w:style w:type="paragraph" w:customStyle="1" w:styleId="198">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9">
    <w:name w:val="inx_box52"/>
    <w:basedOn w:val="1"/>
    <w:qFormat/>
    <w:uiPriority w:val="0"/>
    <w:pPr>
      <w:widowControl/>
      <w:spacing w:before="90"/>
      <w:jc w:val="left"/>
    </w:pPr>
    <w:rPr>
      <w:rFonts w:ascii="宋体" w:hAnsi="宋体" w:eastAsia="宋体" w:cs="宋体"/>
      <w:kern w:val="0"/>
      <w:sz w:val="24"/>
      <w:szCs w:val="24"/>
    </w:rPr>
  </w:style>
  <w:style w:type="paragraph" w:customStyle="1" w:styleId="200">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1">
    <w:name w:val="inx_box53"/>
    <w:basedOn w:val="1"/>
    <w:qFormat/>
    <w:uiPriority w:val="0"/>
    <w:pPr>
      <w:widowControl/>
      <w:spacing w:before="240"/>
      <w:jc w:val="left"/>
    </w:pPr>
    <w:rPr>
      <w:rFonts w:ascii="宋体" w:hAnsi="宋体" w:eastAsia="宋体" w:cs="宋体"/>
      <w:kern w:val="0"/>
      <w:sz w:val="24"/>
      <w:szCs w:val="24"/>
    </w:rPr>
  </w:style>
  <w:style w:type="paragraph" w:customStyle="1" w:styleId="202">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3">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4">
    <w:name w:val="inx_box55"/>
    <w:basedOn w:val="1"/>
    <w:qFormat/>
    <w:uiPriority w:val="0"/>
    <w:pPr>
      <w:widowControl/>
      <w:spacing w:before="240"/>
      <w:jc w:val="left"/>
    </w:pPr>
    <w:rPr>
      <w:rFonts w:ascii="宋体" w:hAnsi="宋体" w:eastAsia="宋体" w:cs="宋体"/>
      <w:kern w:val="0"/>
      <w:sz w:val="24"/>
      <w:szCs w:val="24"/>
    </w:rPr>
  </w:style>
  <w:style w:type="paragraph" w:customStyle="1" w:styleId="205">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6">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7">
    <w:name w:val="menu"/>
    <w:basedOn w:val="1"/>
    <w:qFormat/>
    <w:uiPriority w:val="0"/>
    <w:pPr>
      <w:widowControl/>
      <w:jc w:val="left"/>
    </w:pPr>
    <w:rPr>
      <w:rFonts w:ascii="宋体" w:hAnsi="宋体" w:eastAsia="宋体" w:cs="宋体"/>
      <w:kern w:val="0"/>
      <w:sz w:val="24"/>
      <w:szCs w:val="24"/>
    </w:rPr>
  </w:style>
  <w:style w:type="paragraph" w:customStyle="1" w:styleId="208">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9">
    <w:name w:val="diqu-list"/>
    <w:basedOn w:val="1"/>
    <w:qFormat/>
    <w:uiPriority w:val="0"/>
    <w:pPr>
      <w:widowControl/>
      <w:jc w:val="left"/>
    </w:pPr>
    <w:rPr>
      <w:rFonts w:ascii="宋体" w:hAnsi="宋体" w:eastAsia="宋体" w:cs="宋体"/>
      <w:kern w:val="0"/>
      <w:sz w:val="24"/>
      <w:szCs w:val="24"/>
    </w:rPr>
  </w:style>
  <w:style w:type="paragraph" w:customStyle="1" w:styleId="210">
    <w:name w:val="hidden"/>
    <w:basedOn w:val="1"/>
    <w:qFormat/>
    <w:uiPriority w:val="0"/>
    <w:pPr>
      <w:widowControl/>
      <w:jc w:val="left"/>
    </w:pPr>
    <w:rPr>
      <w:rFonts w:ascii="宋体" w:hAnsi="宋体" w:eastAsia="宋体" w:cs="宋体"/>
      <w:vanish/>
      <w:kern w:val="0"/>
      <w:sz w:val="24"/>
      <w:szCs w:val="24"/>
    </w:rPr>
  </w:style>
  <w:style w:type="character" w:customStyle="1" w:styleId="211">
    <w:name w:val="editinput"/>
    <w:basedOn w:val="18"/>
    <w:qFormat/>
    <w:uiPriority w:val="0"/>
  </w:style>
  <w:style w:type="character" w:customStyle="1" w:styleId="212">
    <w:name w:val="edittexttarea"/>
    <w:basedOn w:val="18"/>
    <w:qFormat/>
    <w:uiPriority w:val="0"/>
  </w:style>
  <w:style w:type="character" w:customStyle="1" w:styleId="213">
    <w:name w:val="页眉 Char"/>
    <w:basedOn w:val="18"/>
    <w:link w:val="11"/>
    <w:qFormat/>
    <w:uiPriority w:val="99"/>
    <w:rPr>
      <w:sz w:val="18"/>
      <w:szCs w:val="18"/>
    </w:rPr>
  </w:style>
  <w:style w:type="character" w:customStyle="1" w:styleId="214">
    <w:name w:val="页脚 Char"/>
    <w:basedOn w:val="18"/>
    <w:link w:val="10"/>
    <w:qFormat/>
    <w:uiPriority w:val="99"/>
    <w:rPr>
      <w:sz w:val="18"/>
      <w:szCs w:val="18"/>
    </w:rPr>
  </w:style>
  <w:style w:type="character" w:customStyle="1" w:styleId="215">
    <w:name w:val="标题 2 Char"/>
    <w:basedOn w:val="18"/>
    <w:link w:val="3"/>
    <w:qFormat/>
    <w:uiPriority w:val="9"/>
    <w:rPr>
      <w:rFonts w:asciiTheme="majorHAnsi" w:hAnsiTheme="majorHAnsi" w:eastAsiaTheme="majorEastAsia" w:cstheme="majorBidi"/>
      <w:b/>
      <w:bCs/>
      <w:sz w:val="32"/>
      <w:szCs w:val="32"/>
    </w:rPr>
  </w:style>
  <w:style w:type="character" w:customStyle="1" w:styleId="216">
    <w:name w:val="标题 3 Char"/>
    <w:basedOn w:val="18"/>
    <w:link w:val="4"/>
    <w:qFormat/>
    <w:uiPriority w:val="9"/>
    <w:rPr>
      <w:b/>
      <w:bCs/>
      <w:sz w:val="32"/>
      <w:szCs w:val="32"/>
    </w:rPr>
  </w:style>
  <w:style w:type="paragraph" w:styleId="217">
    <w:name w:val="List Paragraph"/>
    <w:basedOn w:val="1"/>
    <w:qFormat/>
    <w:uiPriority w:val="34"/>
    <w:pPr>
      <w:ind w:firstLine="420" w:firstLineChars="200"/>
    </w:pPr>
  </w:style>
  <w:style w:type="paragraph" w:customStyle="1" w:styleId="218">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219">
    <w:name w:val="批注框文本 Char"/>
    <w:basedOn w:val="18"/>
    <w:link w:val="9"/>
    <w:semiHidden/>
    <w:qFormat/>
    <w:uiPriority w:val="99"/>
    <w:rPr>
      <w:sz w:val="18"/>
      <w:szCs w:val="18"/>
    </w:rPr>
  </w:style>
  <w:style w:type="character" w:customStyle="1" w:styleId="220">
    <w:name w:val="font11"/>
    <w:basedOn w:val="18"/>
    <w:qFormat/>
    <w:uiPriority w:val="0"/>
    <w:rPr>
      <w:rFonts w:hint="eastAsia" w:ascii="宋体" w:hAnsi="宋体" w:eastAsia="宋体" w:cs="宋体"/>
      <w:color w:val="000000"/>
      <w:sz w:val="18"/>
      <w:szCs w:val="18"/>
      <w:u w:val="none"/>
    </w:rPr>
  </w:style>
  <w:style w:type="character" w:customStyle="1" w:styleId="221">
    <w:name w:val="font31"/>
    <w:basedOn w:val="18"/>
    <w:qFormat/>
    <w:uiPriority w:val="0"/>
    <w:rPr>
      <w:rFonts w:hint="default" w:ascii="Symbol" w:hAnsi="Symbol" w:cs="Symbol"/>
      <w:color w:val="000000"/>
      <w:sz w:val="18"/>
      <w:szCs w:val="18"/>
      <w:u w:val="none"/>
    </w:rPr>
  </w:style>
  <w:style w:type="character" w:customStyle="1" w:styleId="222">
    <w:name w:val="font21"/>
    <w:qFormat/>
    <w:uiPriority w:val="0"/>
    <w:rPr>
      <w:rFonts w:hint="eastAsia" w:ascii="宋体" w:hAnsi="宋体" w:eastAsia="宋体" w:cs="宋体"/>
      <w:color w:val="000000"/>
      <w:sz w:val="20"/>
      <w:szCs w:val="20"/>
      <w:u w:val="none"/>
    </w:rPr>
  </w:style>
  <w:style w:type="paragraph" w:customStyle="1" w:styleId="2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24">
    <w:name w:val="font8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91781-9562-49C0-8393-279BBC8142F3}">
  <ds:schemaRefs/>
</ds:datastoreItem>
</file>

<file path=docProps/app.xml><?xml version="1.0" encoding="utf-8"?>
<Properties xmlns="http://schemas.openxmlformats.org/officeDocument/2006/extended-properties" xmlns:vt="http://schemas.openxmlformats.org/officeDocument/2006/docPropsVTypes">
  <Template>Normal</Template>
  <Pages>26</Pages>
  <Words>2241</Words>
  <Characters>12775</Characters>
  <Lines>106</Lines>
  <Paragraphs>29</Paragraphs>
  <TotalTime>3</TotalTime>
  <ScaleCrop>false</ScaleCrop>
  <LinksUpToDate>false</LinksUpToDate>
  <CharactersWithSpaces>14987</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2018-04-25T09:58:00Z</dcterms:created>
  <dc:creator>Qingju Zh</dc:creator>
  <cp:lastModifiedBy>86186</cp:lastModifiedBy>
  <dcterms:modified xsi:type="dcterms:W3CDTF">2021-01-22T01:39:57Z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