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将乐县教育局班班通多媒体触控一体机教学设备货物类采购项目</w:t>
      </w:r>
    </w:p>
    <w:p>
      <w:pPr>
        <w:numPr>
          <w:ilvl w:val="0"/>
          <w:numId w:val="0"/>
        </w:numPr>
        <w:jc w:val="center"/>
        <w:rPr>
          <w:rFonts w:hint="eastAsia" w:ascii="宋体" w:hAnsi="宋体" w:eastAsia="宋体" w:cs="宋体"/>
          <w:sz w:val="28"/>
          <w:szCs w:val="28"/>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 [350428]YDCG[GK]2020006 </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0"/>
            <w:tabs>
              <w:tab w:val="right" w:leader="dot" w:pos="8306"/>
            </w:tabs>
          </w:pPr>
          <w:bookmarkStart w:id="16" w:name="_GoBack"/>
          <w:bookmarkEnd w:id="16"/>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_Toc6354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_Toc6354 </w:instrText>
          </w:r>
          <w:r>
            <w:fldChar w:fldCharType="separate"/>
          </w:r>
          <w:r>
            <w:t>1</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_Toc7808 </w:instrText>
          </w:r>
          <w:r>
            <w:rPr>
              <w:rFonts w:ascii="宋体" w:hAnsi="宋体" w:eastAsia="宋体" w:cs="宋体"/>
              <w:bCs/>
              <w:kern w:val="0"/>
              <w:szCs w:val="24"/>
            </w:rPr>
            <w:fldChar w:fldCharType="separate"/>
          </w:r>
          <w:r>
            <w:t>第二章询价须知</w:t>
          </w:r>
          <w:r>
            <w:tab/>
          </w:r>
          <w:r>
            <w:fldChar w:fldCharType="begin"/>
          </w:r>
          <w:r>
            <w:instrText xml:space="preserve"> PAGEREF _Toc7808 </w:instrText>
          </w:r>
          <w:r>
            <w:fldChar w:fldCharType="separate"/>
          </w:r>
          <w:r>
            <w:t>2</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_Toc14628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_Toc14628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_Toc3684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_Toc3684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_Toc26258 </w:instrText>
          </w:r>
          <w:r>
            <w:rPr>
              <w:rFonts w:ascii="宋体" w:hAnsi="宋体" w:eastAsia="宋体" w:cs="宋体"/>
              <w:bCs/>
              <w:kern w:val="0"/>
              <w:szCs w:val="24"/>
            </w:rPr>
            <w:fldChar w:fldCharType="separate"/>
          </w:r>
          <w:r>
            <w:rPr>
              <w:rFonts w:hint="eastAsia"/>
            </w:rPr>
            <w:t xml:space="preserve">二、 </w:t>
          </w:r>
          <w:r>
            <w:t>技术要求（以下内容不允许负偏离）</w:t>
          </w:r>
          <w:r>
            <w:tab/>
          </w:r>
          <w:r>
            <w:fldChar w:fldCharType="begin"/>
          </w:r>
          <w:r>
            <w:instrText xml:space="preserve"> PAGEREF _Toc26258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_Toc16362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_Toc16362 </w:instrText>
          </w:r>
          <w:r>
            <w:fldChar w:fldCharType="separate"/>
          </w:r>
          <w:r>
            <w:t>14</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_Toc4391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_Toc4391 </w:instrText>
          </w:r>
          <w:r>
            <w:fldChar w:fldCharType="separate"/>
          </w:r>
          <w:r>
            <w:t>14</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_Toc15571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_Toc15571 </w:instrText>
          </w:r>
          <w:r>
            <w:fldChar w:fldCharType="separate"/>
          </w:r>
          <w:r>
            <w:t>16</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_Toc30229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_Toc30229 </w:instrText>
          </w:r>
          <w:r>
            <w:fldChar w:fldCharType="separate"/>
          </w:r>
          <w:r>
            <w:t>17</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_Toc1586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_Toc1586 </w:instrText>
          </w:r>
          <w:r>
            <w:fldChar w:fldCharType="separate"/>
          </w:r>
          <w:r>
            <w:t>18</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_Toc4129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_Toc4129 </w:instrText>
          </w:r>
          <w:r>
            <w:fldChar w:fldCharType="separate"/>
          </w:r>
          <w:r>
            <w:t>18</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_Toc14764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_Toc14764 </w:instrText>
          </w:r>
          <w:r>
            <w:fldChar w:fldCharType="separate"/>
          </w:r>
          <w:r>
            <w:t>19</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_Toc17523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_Toc17523 </w:instrText>
          </w:r>
          <w:r>
            <w:fldChar w:fldCharType="separate"/>
          </w:r>
          <w:r>
            <w:t>20</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_Toc13724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_Toc13724 </w:instrText>
          </w:r>
          <w:r>
            <w:fldChar w:fldCharType="separate"/>
          </w:r>
          <w:r>
            <w:t>21</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_Toc30361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_Toc30361 </w:instrText>
          </w:r>
          <w:r>
            <w:fldChar w:fldCharType="separate"/>
          </w:r>
          <w:r>
            <w:t>22</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2"/>
      </w:pPr>
      <w:bookmarkStart w:id="0" w:name="_Toc6354"/>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w:t>
      </w:r>
      <w:r>
        <w:rPr>
          <w:rFonts w:hint="eastAsia" w:ascii="宋体" w:hAnsi="宋体" w:eastAsia="宋体"/>
          <w:sz w:val="24"/>
          <w:szCs w:val="24"/>
          <w:lang w:eastAsia="zh-CN"/>
        </w:rPr>
        <w:t>将乐县教育局班班通多媒体触控一体机教学设备货物类采购项目</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71万元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w:t>
      </w:r>
      <w:r>
        <w:rPr>
          <w:rFonts w:hint="eastAsia" w:ascii="仿宋_GB2312" w:eastAsia="仿宋_GB2312" w:cs="仿宋_GB2312"/>
          <w:b w:val="0"/>
          <w:i w:val="0"/>
          <w:caps w:val="0"/>
          <w:color w:val="000000"/>
          <w:spacing w:val="0"/>
          <w:sz w:val="27"/>
          <w:szCs w:val="27"/>
          <w:lang w:eastAsia="zh-CN"/>
        </w:rPr>
        <w:t>[350428]YDCG[GK]2020006</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7808"/>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restart"/>
            <w:tcBorders>
              <w:top w:val="outset" w:color="000000" w:sz="6" w:space="0"/>
              <w:left w:val="outset" w:color="000000" w:sz="6" w:space="0"/>
              <w:right w:val="outset" w:color="000000" w:sz="6" w:space="0"/>
            </w:tcBorders>
          </w:tcPr>
          <w:p>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1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rPr>
                <w:rFonts w:hint="default" w:ascii="宋体" w:hAnsi="宋体" w:eastAsia="宋体" w:cs="宋体"/>
                <w:kern w:val="0"/>
                <w:sz w:val="24"/>
                <w:szCs w:val="24"/>
                <w:lang w:val="en-US"/>
              </w:rPr>
            </w:pPr>
            <w:r>
              <w:rPr>
                <w:rFonts w:ascii="宋体" w:hAnsi="宋体" w:eastAsia="宋体" w:cs="宋体"/>
                <w:kern w:val="0"/>
                <w:sz w:val="24"/>
                <w:szCs w:val="24"/>
                <w:lang w:val="en-US" w:eastAsia="zh-CN" w:bidi="ar"/>
              </w:rPr>
              <w:t>支付比例(%)</w:t>
            </w:r>
          </w:p>
        </w:tc>
        <w:tc>
          <w:tcPr>
            <w:tcW w:w="6654"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rPr>
                <w:rFonts w:ascii="宋体" w:hAnsi="宋体" w:eastAsia="宋体" w:cs="宋体"/>
                <w:bCs/>
                <w:kern w:val="0"/>
                <w:sz w:val="24"/>
                <w:szCs w:val="24"/>
              </w:rPr>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hint="eastAsia" w:ascii="宋体" w:hAnsi="宋体" w:eastAsia="宋体" w:cs="宋体"/>
                <w:kern w:val="0"/>
                <w:sz w:val="24"/>
                <w:szCs w:val="24"/>
                <w:lang w:val="en-US" w:eastAsia="zh-CN"/>
              </w:rPr>
            </w:pPr>
          </w:p>
        </w:tc>
        <w:tc>
          <w:tcPr>
            <w:tcW w:w="11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rPr>
                <w:rFonts w:ascii="宋体" w:hAnsi="宋体" w:eastAsia="宋体" w:cs="宋体"/>
                <w:kern w:val="0"/>
                <w:sz w:val="24"/>
                <w:szCs w:val="24"/>
              </w:rPr>
            </w:pPr>
            <w:r>
              <w:rPr>
                <w:rFonts w:ascii="宋体" w:hAnsi="宋体" w:eastAsia="宋体" w:cs="宋体"/>
                <w:kern w:val="0"/>
                <w:sz w:val="24"/>
                <w:szCs w:val="24"/>
                <w:lang w:val="en-US" w:eastAsia="zh-CN" w:bidi="ar"/>
              </w:rPr>
              <w:t>90</w:t>
            </w:r>
          </w:p>
        </w:tc>
        <w:tc>
          <w:tcPr>
            <w:tcW w:w="6654"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rPr>
                <w:rFonts w:ascii="宋体" w:hAnsi="宋体" w:eastAsia="宋体" w:cs="宋体"/>
                <w:bCs/>
                <w:kern w:val="0"/>
                <w:sz w:val="24"/>
                <w:szCs w:val="24"/>
              </w:rPr>
            </w:pPr>
            <w:r>
              <w:rPr>
                <w:rFonts w:ascii="宋体" w:hAnsi="宋体" w:eastAsia="宋体" w:cs="宋体"/>
                <w:kern w:val="0"/>
                <w:sz w:val="24"/>
                <w:szCs w:val="24"/>
                <w:lang w:val="en-US" w:eastAsia="zh-CN" w:bidi="ar"/>
              </w:rPr>
              <w:t>验收合格后支付合同总额90%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bottom w:val="outset" w:color="000000" w:sz="6" w:space="0"/>
              <w:right w:val="outset" w:color="000000" w:sz="6" w:space="0"/>
            </w:tcBorders>
          </w:tcPr>
          <w:p>
            <w:pPr>
              <w:widowControl/>
              <w:spacing w:line="360" w:lineRule="auto"/>
              <w:jc w:val="left"/>
              <w:rPr>
                <w:rFonts w:hint="eastAsia" w:ascii="宋体" w:hAnsi="宋体" w:eastAsia="宋体" w:cs="宋体"/>
                <w:kern w:val="0"/>
                <w:sz w:val="24"/>
                <w:szCs w:val="24"/>
                <w:lang w:val="en-US" w:eastAsia="zh-CN"/>
              </w:rPr>
            </w:pPr>
          </w:p>
        </w:tc>
        <w:tc>
          <w:tcPr>
            <w:tcW w:w="11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10</w:t>
            </w:r>
          </w:p>
        </w:tc>
        <w:tc>
          <w:tcPr>
            <w:tcW w:w="6654" w:type="dxa"/>
            <w:tcBorders>
              <w:top w:val="outset" w:color="000000" w:sz="6" w:space="0"/>
              <w:left w:val="outset" w:color="000000" w:sz="6" w:space="0"/>
              <w:bottom w:val="single" w:color="auto" w:sz="4" w:space="0"/>
              <w:right w:val="outset" w:color="000000" w:sz="6" w:space="0"/>
            </w:tcBorders>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使用一年后无质量问题后支付合同总额10%</w:t>
            </w:r>
          </w:p>
        </w:tc>
      </w:tr>
    </w:tbl>
    <w:p>
      <w:pPr>
        <w:pStyle w:val="2"/>
      </w:pPr>
      <w:bookmarkStart w:id="2" w:name="_Toc14628"/>
      <w:r>
        <w:t>第</w:t>
      </w:r>
      <w:r>
        <w:rPr>
          <w:rFonts w:hint="eastAsia"/>
        </w:rPr>
        <w:t>三</w:t>
      </w:r>
      <w:r>
        <w:t>章询价内容及要求</w:t>
      </w:r>
      <w:bookmarkEnd w:id="2"/>
    </w:p>
    <w:p>
      <w:pPr>
        <w:pStyle w:val="3"/>
        <w:numPr>
          <w:ilvl w:val="0"/>
          <w:numId w:val="1"/>
        </w:numPr>
        <w:rPr>
          <w:rFonts w:hint="eastAsia"/>
        </w:rPr>
      </w:pPr>
      <w:bookmarkStart w:id="3" w:name="_Toc3684"/>
      <w:r>
        <w:t>采购标的</w:t>
      </w:r>
      <w:r>
        <w:rPr>
          <w:rFonts w:hint="eastAsia"/>
        </w:rPr>
        <w:t>一览表</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p>
      <w:pPr>
        <w:rPr>
          <w:rFonts w:hint="eastAsia"/>
        </w:rPr>
      </w:pPr>
    </w:p>
    <w:tbl>
      <w:tblPr>
        <w:tblStyle w:val="14"/>
        <w:tblW w:w="445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5"/>
        <w:gridCol w:w="925"/>
        <w:gridCol w:w="1852"/>
        <w:gridCol w:w="927"/>
        <w:gridCol w:w="927"/>
        <w:gridCol w:w="927"/>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w:t>
            </w:r>
          </w:p>
        </w:tc>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w:t>
            </w:r>
          </w:p>
        </w:tc>
        <w:tc>
          <w:tcPr>
            <w:tcW w:w="12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采购标的</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允许进口</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数量</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品目号预算</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1"/>
              <w:gridCol w:w="1762"/>
              <w:gridCol w:w="841"/>
              <w:gridCol w:w="842"/>
              <w:gridCol w:w="1241"/>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教学专用仪器</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7</w:t>
                  </w:r>
                  <w:r>
                    <w:rPr>
                      <w:rFonts w:hint="eastAsia" w:ascii="Segoe UI" w:hAnsi="Segoe UI" w:eastAsia="Segoe UI" w:cs="Segoe UI"/>
                      <w:color w:val="333333"/>
                      <w:kern w:val="0"/>
                      <w:sz w:val="21"/>
                      <w:szCs w:val="21"/>
                      <w:lang w:val="en-US" w:eastAsia="zh-CN" w:bidi="ar"/>
                    </w:rPr>
                    <w:t>10</w:t>
                  </w:r>
                  <w:r>
                    <w:rPr>
                      <w:rFonts w:hint="default" w:ascii="Segoe UI" w:hAnsi="Segoe UI" w:eastAsia="Segoe UI" w:cs="Segoe UI"/>
                      <w:color w:val="333333"/>
                      <w:kern w:val="0"/>
                      <w:sz w:val="21"/>
                      <w:szCs w:val="21"/>
                      <w:lang w:val="en-US" w:eastAsia="zh-CN" w:bidi="ar"/>
                    </w:rPr>
                    <w:t>,</w:t>
                  </w:r>
                  <w:r>
                    <w:rPr>
                      <w:rFonts w:hint="eastAsia" w:ascii="Segoe UI" w:hAnsi="Segoe UI" w:eastAsia="Segoe UI" w:cs="Segoe UI"/>
                      <w:color w:val="333333"/>
                      <w:kern w:val="0"/>
                      <w:sz w:val="21"/>
                      <w:szCs w:val="21"/>
                      <w:lang w:val="en-US" w:eastAsia="zh-CN" w:bidi="ar"/>
                    </w:rPr>
                    <w:t>0</w:t>
                  </w:r>
                  <w:r>
                    <w:rPr>
                      <w:rFonts w:hint="default" w:ascii="Segoe UI" w:hAnsi="Segoe UI" w:eastAsia="Segoe UI" w:cs="Segoe UI"/>
                      <w:color w:val="333333"/>
                      <w:kern w:val="0"/>
                      <w:sz w:val="21"/>
                      <w:szCs w:val="21"/>
                      <w:lang w:val="en-US" w:eastAsia="zh-CN" w:bidi="ar"/>
                    </w:rPr>
                    <w:t>00.0000</w:t>
                  </w:r>
                </w:p>
              </w:tc>
            </w:tr>
          </w:tbl>
          <w:p>
            <w:pPr>
              <w:jc w:val="center"/>
              <w:rPr>
                <w:rFonts w:hint="default" w:ascii="Segoe UI" w:hAnsi="Segoe UI" w:eastAsia="Segoe UI" w:cs="Segoe UI"/>
                <w:color w:val="333333"/>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7</w:t>
            </w:r>
            <w:r>
              <w:rPr>
                <w:rFonts w:hint="eastAsia" w:ascii="Segoe UI" w:hAnsi="Segoe UI" w:eastAsia="Segoe UI" w:cs="Segoe UI"/>
                <w:color w:val="333333"/>
                <w:kern w:val="0"/>
                <w:sz w:val="21"/>
                <w:szCs w:val="21"/>
                <w:lang w:val="en-US" w:eastAsia="zh-CN" w:bidi="ar"/>
              </w:rPr>
              <w:t>100</w:t>
            </w:r>
            <w:r>
              <w:rPr>
                <w:rFonts w:hint="default" w:ascii="Segoe UI" w:hAnsi="Segoe UI" w:eastAsia="Segoe UI" w:cs="Segoe UI"/>
                <w:color w:val="333333"/>
                <w:kern w:val="0"/>
                <w:sz w:val="21"/>
                <w:szCs w:val="21"/>
                <w:lang w:val="en-US" w:eastAsia="zh-CN" w:bidi="ar"/>
              </w:rPr>
              <w:t>00</w:t>
            </w:r>
          </w:p>
        </w:tc>
      </w:tr>
    </w:tbl>
    <w:p>
      <w:pPr>
        <w:numPr>
          <w:ilvl w:val="0"/>
          <w:numId w:val="0"/>
        </w:numPr>
        <w:jc w:val="left"/>
        <w:rPr>
          <w:rFonts w:hint="eastAsia" w:ascii="宋体" w:hAnsi="宋体" w:eastAsia="宋体" w:cs="宋体"/>
          <w:sz w:val="28"/>
          <w:szCs w:val="28"/>
          <w:lang w:val="en-US" w:eastAsia="zh-CN"/>
        </w:rPr>
      </w:pPr>
    </w:p>
    <w:p>
      <w:pPr>
        <w:pStyle w:val="3"/>
        <w:numPr>
          <w:ilvl w:val="0"/>
          <w:numId w:val="1"/>
        </w:numPr>
        <w:ind w:left="0" w:leftChars="0" w:firstLine="0" w:firstLineChars="0"/>
      </w:pPr>
      <w:bookmarkStart w:id="4" w:name="_Toc26258"/>
      <w:r>
        <w:t>技术要求（以下内容不允许负偏离）</w:t>
      </w:r>
      <w:bookmarkEnd w:id="4"/>
    </w:p>
    <w:tbl>
      <w:tblPr>
        <w:tblStyle w:val="14"/>
        <w:tblW w:w="9500" w:type="dxa"/>
        <w:tblCellSpacing w:w="15" w:type="dxa"/>
        <w:tblInd w:w="-1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25"/>
        <w:gridCol w:w="1338"/>
        <w:gridCol w:w="6712"/>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序号</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wordWrap w:val="0"/>
              <w:spacing w:before="0" w:beforeAutospacing="1" w:after="0" w:afterAutospacing="1" w:line="360" w:lineRule="auto"/>
              <w:jc w:val="center"/>
            </w:pPr>
            <w:r>
              <w:rPr>
                <w:rFonts w:hint="eastAsia" w:ascii="宋体" w:hAnsi="宋体" w:eastAsia="宋体" w:cs="宋体"/>
                <w:sz w:val="24"/>
                <w:szCs w:val="24"/>
              </w:rPr>
              <w:t>设备名  称</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配置、规格、技术要求</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1</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 </w:t>
            </w:r>
          </w:p>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触控</w:t>
            </w:r>
          </w:p>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一体机</w:t>
            </w:r>
          </w:p>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 </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一、硬件性能与功能：</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1、显示尺寸≥86英寸、物理分辨率≥3840*2160，屏幕采用至少4mm厚度钢化防眩玻璃，透光率不低于90%，表面硬度不低于7H，雾度≤5%。</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2、交互平板产品支持双系统下10点同时触控及书写，触摸高度≤2.5mm，最小识别直径≤3mm，定位精度≤0.1mm。</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3、交互平板产品具有前置按键且具备中文丝印标识，整机提供隐藏式前置输入接口，具有磁吸式盖板多重防护，接口不少于3个双通道 USB（Android2.0 和PC3.0）接口、HDMI*1（非转接），且有中文丝印标识。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4、交互平板产品具有电脑还原按键，针孔式带中文丝印标识，不需专业人员即可轻松解决电脑系统故障。</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5、交互平板产品正面具备2个15W音箱方便教学。</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 xml:space="preserve">6、交互平板产品具备通屏笔槽 </w:t>
            </w:r>
            <w:r>
              <w:rPr>
                <w:rFonts w:hint="eastAsia" w:ascii="宋体" w:hAnsi="宋体" w:eastAsia="宋体" w:cs="宋体"/>
                <w:sz w:val="24"/>
                <w:szCs w:val="24"/>
              </w:rPr>
              <w:br w:type="textWrapping"/>
            </w:r>
            <w:r>
              <w:rPr>
                <w:rFonts w:hint="eastAsia" w:ascii="宋体" w:hAnsi="宋体" w:eastAsia="宋体" w:cs="宋体"/>
                <w:sz w:val="24"/>
                <w:szCs w:val="24"/>
              </w:rPr>
              <w:t>设 计，方便教师置物。</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7、交互平板产品Android主板具备 ROM不小于8G，RAM不小于1G，版本不低于6.0。</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8、交互平板产品具备供电保护模块，在插拔式电脑未固定的情况下，不给插拔式电脑供电。</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9、交互平板产品可通过多指长按屏幕，达到息屏和唤醒功能。10、交互平板产品在Windows和Android的白板软件下，悬浮菜单中的书写工具（批注、橡皮）可与白板软件的底部工具条联动。</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11、交互平板产品悬浮菜单中的信号源可自定义修改，并固化到菜单中，一键直达常用信号源。</w:t>
            </w:r>
          </w:p>
          <w:p>
            <w:pPr>
              <w:pStyle w:val="13"/>
              <w:keepNext w:val="0"/>
              <w:keepLines w:val="0"/>
              <w:widowControl/>
              <w:suppressLineNumbers w:val="0"/>
              <w:wordWrap w:val="0"/>
              <w:spacing w:before="0" w:beforeAutospacing="1" w:after="0" w:afterAutospacing="1" w:line="240" w:lineRule="auto"/>
              <w:jc w:val="left"/>
              <w:rPr>
                <w:rFonts w:hint="eastAsia" w:cs="宋体"/>
                <w:sz w:val="24"/>
                <w:szCs w:val="24"/>
                <w:lang w:val="en-US" w:eastAsia="zh-CN"/>
              </w:rPr>
            </w:pPr>
            <w:r>
              <w:rPr>
                <w:rFonts w:hint="eastAsia" w:ascii="宋体" w:hAnsi="宋体" w:eastAsia="宋体" w:cs="宋体"/>
                <w:sz w:val="24"/>
                <w:szCs w:val="24"/>
              </w:rPr>
              <w:t>12、交互平板产品通过交互平板桌面的悬浮菜单切换信号源通道，并可通过两指调用此悬浮菜单到屏幕任意位置。</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13、交互平板产品具备任意通道下无需点击物理按键，可随时调用计算器、日历等小工具，并支持拖拽及关闭。</w:t>
            </w:r>
          </w:p>
          <w:p>
            <w:pPr>
              <w:pStyle w:val="13"/>
              <w:keepNext w:val="0"/>
              <w:keepLines w:val="0"/>
              <w:widowControl/>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14、交互平板产品Android部分提供硬件系统检测(支持无 PC 状况下使用):对系统内存、存储、红外框、内嵌电脑、屏温监控等提供直观的状态、故障提示。</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15、交互平板产品具备智能护眼组合功能，可提供护眼模式、实现智能光控、以及书写时屏显自动变暗。</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二、插拔式电脑模块：</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1、整机架构：采用插拔式模块电脑架构，接口严格遵循Intel相关规范,针脚数为≤80Pin，与大屏无单独接线；</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2、散热处理：具备高效散热模组，超低静音侧出风散热设 计；</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3、主板规格：采用H110芯片组或以上配置，支持无盘启动、网络唤醒、上电开机、看门狗等功能；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4、处理器性能：采用Intel第8代酷睿 Skylake平台I5处理器（CPU   8400及以上）、主频2.8GHz或以上配置；</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5、内存性能：4G DDR4笔记本内存或以上配置；</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6、硬盘性能：存储空间128G SSD或以上配置，并具有防震功能；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7、拓展接口：具备独立非外扩展6个USB（至少包含3路USB3.0）接口、HDMI*1、DP*1等满足教学拓展需求；</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8、系统还原：提供软件、硬件一键系统还原方案；</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9、设备兼容与认证：插拔式电脑模块与整机必须为同一制造商；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10、为安全考虑，插拔式电脑具备防盗锁孔；</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11、插拔电脑模块预装正版Windows 10 Professional专业版(64Bit）操作系统。</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12、插拔电脑模块预装正版OfficePro     Plus2016专业版办公软件。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三、教学应用软件: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（一）主界面与登录</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1、具有教学云平台，支持云端备课，教师可直接登陆云平台进行备课及课件下载使用，教师注册即可获得不少于32GB的云盘容量，无需用户通过完成特定任务才能获取，方便教师使用。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2、提供至少两种登录方式，所有应用模块的入口均在统一界面上，包括课前</w:t>
            </w:r>
            <w:r>
              <w:rPr>
                <w:rFonts w:hint="eastAsia" w:ascii="宋体" w:hAnsi="宋体" w:eastAsia="宋体" w:cs="宋体"/>
                <w:sz w:val="24"/>
                <w:szCs w:val="24"/>
              </w:rPr>
              <w:br w:type="textWrapping"/>
            </w:r>
            <w:r>
              <w:rPr>
                <w:rFonts w:hint="eastAsia" w:ascii="宋体" w:hAnsi="宋体" w:eastAsia="宋体" w:cs="宋体"/>
                <w:sz w:val="24"/>
                <w:szCs w:val="24"/>
              </w:rPr>
              <w:t>设 计、教学软件、多屏互动、展台软件等并支持自定义添加或删除软件应用。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3、需具有教育云平台系统软件且须获得计算机软件著作权证书(著作权人与触控一体机生产企业名 称应一致)并提供证明文件。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（二）课前设 计</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1、提供教案设 计功能，支持老师按照情景导入、内容精讲、同步习题、随堂测试、分组竞赛、分组探究等教学环节自由创建教案。</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2、软件提供人教社等数字教材资源、云端资源、本地资源进行教案制作；针对不同教学环节自动推送与课程精准匹配的资源；</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3、云端资源涵盖幼教、普教、职教等学段，总量不少于1000G；试题库不少于50万道。</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4、支持教师向移动端（手机、pad等）发布学习任务，学生完成提交后，系统自动统计提交情况、完成率等。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5、提供可视化学情分析，可查看多班级学生的学习态度、学习效果、学习难点，为备课提供参   考。</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6、提供教案管理功能，支持教案与教师教学日历关联。</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7、需具有远程课堂系统软件且须获得计算机软件著作权证书(著作权人与触控一体机生产企业名 称应一致)并提供证明文件。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（三）教学软件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1、软件菜单功能按钮和图标的各级菜单均配备明确中文标识。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2、文本编辑功能，支持文本输入并可快速设置字体、大小、颜色、粗体、斜体、下划线、删除线、上标、下标、项目符号等。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3、软件具有水平和垂直的对齐虚线，当移动对象素材时，对齐虚线提示是否对齐。</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4、提供音、视频编辑功能。音、视频文件导入到软件中进行播放，可设置循环播放、跨页面播放；视频文件可一键全屏播放，支持动态截图，截取图片自动生成图片索引栏。</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5、提供不少于30种常用图形，包括线段、圆、三角形、四边形、多边形、对话框、单双箭头、大中括号、加减乘除等，所有图形均可填充颜色、修改边框颜色粗细以及设置图形透明度。</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6、具有页面切换特效，包括缩放、揭开、切出、淡出、推进、覆盖等多种特殊效果。</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对象特效设置：可对页面对象设置多种进入、退出时的特殊效果，如百叶窗、淡入、缩放、浮现、飞入、旋转、劈裂、弹跳等效果，支持设置触发源，支持调整特效顺序、特效时间设置、特效预览、特效删除；支持教学软件页面中的图片、文字等任何对象可在页面中可实现路径轨迹设置、播放和重播。</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8、思维导图：提供多种思维导图模板如逻辑图、鱼骨图、组织结构图，可轻松增删或拖拽编辑内容、节点，并支持在节点上插入图片、音频、视频、文档等附件、及网页链接、课件页面、聚光灯等。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学科工具：至少提供12门以上学科工具，包含语文、数学、英语、物理、化学、生物、地理、历史、音乐、体育、书法、美术等常用学科；针对以上学科，学科工具包含视频、文字、图片、动态教具、动态课件等内容。</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数学工具：提供数学公式编辑功能，支持常规输入与LaTeX两种输入方式；提供初中和高中成品动态课件，课件可一键插入白板教学页面直接使用；提供立体图形动态展示功能，支持分段展示，并可以精确修改几何数值。</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（2）语文学科工具：至少包含汉字、拼音、注音、古诗词、学词语、学拼音、成语词典等内容。提供不少于3000个国标一级汉字，包括汉字的笔顺演示和指  定分解笔画演示；支持手写识别拼音，以及笔顺演示和朗读发音；提供单个或多个文字自动注音功能。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（3）英语工具：提供单词和音标学习视频；支持英文手写识别和自动换行。</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（4）物理工具：提供力学、电学、电磁学、光学、电学图例等多种动态可调节素材，如弹簧、游标卡尺、刻度尺、气缸、安培表、伏特表、开关、滑动变阻器、透镜等。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（5）化学工具：提供动态可调节实验化学器械和化学器皿，如量筒、启普发生器、铁架台、分液漏斗、天平等；提供化学元素周期表工具和化学符号。</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（6）生物工具：提供显微镜功能，可模拟装片展示，物镜目镜调整及旋转聚焦等操作；提供氨基酸、核苷酸、染色体、细胞膜等动态操作演示。</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（7）地理工具：提供地球仪模型，可显示气候、国家、地形等内容；提供太阳系图示，可显示不同视角、地球晨昏线、地月模型；提供天气符号图示。</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（8）音乐工具：提供电子琴、架子鼓、吉他、排笛、大提琴等多种动态教具。</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历史工具：提供中国各朝代的动态简介，包含世系表、疆域图、朝代历史简介等；提供国内外近代政治、经济、文化、军事、历史事件介绍，提供年代检索；以及丝绸之路、新航路开辟、赤壁之战等历史大事件的动态简介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10、仿真实验：具备总数不少于450个,涵盖K-12年级科学、初高中物理、化学、生物等学科的本地仿真实验资源；仿真实验包括实验目的、实验原理、实验器材、注意事项、实验演示、开始实验、实验检测、实验应用等环节；为方便向学生展示及操作，仿真实验支持一键全屏播放。需具有仿真实验室软件且须获得计算机软件著作权证书(著作权人与触控一体机生产企业名 称应一致)并提供证明文件。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11、书写工具：至少提供硬笔、智能笔、激光笔、粉笔、手势笔等不少于10种书写工具；通过智能笔可识别平面图形；通过手势笔可实现书写、擦除、前后翻页，聚光灯，放大镜等功能。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 xml:space="preserve">12、工具箱：提供不少于12个教学辅助工具，例如直尺、圆规、三角板、聚光灯、放大镜、屏幕截图、展台、草稿纸等。   </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13、PPT课件批注功能：PPT全屏播放时可自动开启工具菜单，提供PPT课件的播放控制(如前后翻页)、聚光灯、放大镜、草稿纸和书写批注等功能，支持生成二维码，快速分享课件。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（四）多屏互动工具</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1、局域网环境下支持手机、pad移动端与PC端通过智能搜索或扫描二维码方式连接；</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2、可实现影像上传功能：可同时上传多张照片进行同屏对比，双向批注；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3、可实现投屏功能：手机画面上传至PC端；PC端电脑画面同步至手机，可实现手机实时控制、随时批注PC端电脑桌面；</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4、可实现播放课件功能：支持播放电脑桌面的ppt课件；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5、可实现手机直播：同步手机摄像头直播画面至PC端；</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6、可实现u盘文件直读功能；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7、可实现一键切换电脑窗口文件功能；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8、可实现触摸板功能：手机可模拟鼠标操作PC端画面；</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9、可实现电脑管理功能：手机可远程操作PC端电脑关闭或重启。</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10、需具有移动授课系统软件且须获得计算机软件著作权证书(著作权人与触控一体机生产企业名 称应一致)并提供证明文件。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（五）学科备授课工具</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1、提供预置的高质量课件素材，教师可在网页端、移动端、电脑端进行内容的选择与组合，快速生成课件并浏览；所有制作的课件均实时保存至云端，教师只需登录即可查看。</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2、支持教师根据知识点选择对应的教学内容；教师仅需要按每个教学环节选择所需的教学模块即可快速生成一份课件；每个课时均提供过量的教学内容模块，满足教师的个性化需求。</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3、教学模块提供教学设 计和课件内容，部分课件提供课件批注，帮助教师更好地选择、运用课件内容。</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4、支持将做好的课件打印成纸质版或导出成PDF；支持将做好的课件以链接的形式分享；同时，还支持扫码分享到手机微信以及一键分享到班级QQ群。</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5、需具有备授课系统软件且须获得计算机软件著作权证书(著作权人与触控一体机生产企业名  称应一致)并提供证明文件。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（六）班务管理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具有专门的通知发送工具，成员选择支持一个或多个班级中的全部或部分成员；通知接收者单独收到该条通知；支持教师编辑带回执的通知，回执内容支持自定义；通知查看或回执结果自动统计形成直观报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2、通知支持教师自主撰写文字，支持图片、拍照、语音、文件、外链等附件；支持以免费短信、免费语音电话的形式提醒未查看或未反馈的家长及时处理。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3、支持教师创建带主题的讨论组，可设置讨论组默认结束时间，结束后自动全员禁言；讨论组创建者7天内可撤回任意成员的消息；支持与班级内任一成员发起一对一聊天或拨打成员电话。</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4、支持教师创建相册并上传照片、视频供家长查看；上传的照片、视频支持家长下载。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 xml:space="preserve">（七）数字教材 </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配置与本地教材版本一致的人民教育出版社正版授权数字教材，数字教材覆盖K-12各个年级各个学科；教材资源内容与课程标准及现行课改教材完全配套相符。教材资源含教材原文、教学素材、教学动画、教学视频、语音点播等；且页面提供点读、笔记、标注等工具。数字教材可在交互教学软件中直接打开，且达到放大200%不失真的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（八）课堂评价系统</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1、支持老师对全班或单个学生进行评价，评价结果可撤回；</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2、支持管理者查看所有班级学生的评价得分；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3、支持随机抽选学生进行评价；</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4、支持桌面显示光荣榜，可显示班级学生的本日、本周的排名情况，可设置隐藏；</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5、支持教师通过PC客户端、安卓手机端、苹果手机端登录使用。支持家长通过安卓手机端、苹果手机端端查看学生表现。</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四、资质要求及售后 服务：</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（1）所投产品的软件功能，必须在同一套软件环境下实现，不接受使用多套软件参加投标。软件需为自主研发，必须与硬件产品为同一品 牌，不接受第三方软件。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（2）为方便老师应用，提供与产品相关的微信公众号学习交流及售后平台，老师可通过关注厂家微信公众号在线自主学习产品使用，也可通过公众号在线提问及产品的报修。</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（3）整机保修三年(含屏体)，提供专职技术工程师上门服务；软件终身免费升级服务，提供专职培训讲师免费上门培训软件使用。</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left"/>
            </w:pPr>
            <w:r>
              <w:rPr>
                <w:rFonts w:hint="eastAsia" w:ascii="宋体" w:hAnsi="宋体" w:eastAsia="宋体" w:cs="宋体"/>
                <w:sz w:val="24"/>
                <w:szCs w:val="24"/>
              </w:rPr>
              <w:t>25台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2</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高清</w:t>
            </w:r>
          </w:p>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壁挂</w:t>
            </w:r>
          </w:p>
          <w:p>
            <w:pPr>
              <w:pStyle w:val="13"/>
              <w:keepNext w:val="0"/>
              <w:keepLines w:val="0"/>
              <w:widowControl/>
              <w:suppressLineNumbers w:val="0"/>
              <w:spacing w:before="0" w:beforeAutospacing="1" w:after="0" w:afterAutospacing="1" w:line="360" w:lineRule="auto"/>
              <w:ind w:left="0" w:firstLine="210"/>
              <w:jc w:val="center"/>
            </w:pPr>
            <w:r>
              <w:rPr>
                <w:rFonts w:hint="eastAsia" w:ascii="宋体" w:hAnsi="宋体" w:eastAsia="宋体" w:cs="宋体"/>
                <w:sz w:val="24"/>
                <w:szCs w:val="24"/>
              </w:rPr>
              <w:t>展台</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numPr>
                <w:ilvl w:val="0"/>
                <w:numId w:val="2"/>
              </w:numPr>
              <w:suppressLineNumbers w:val="0"/>
              <w:wordWrap w:val="0"/>
              <w:spacing w:before="0" w:beforeAutospacing="1" w:after="0" w:afterAutospacing="1" w:line="240" w:lineRule="auto"/>
              <w:jc w:val="left"/>
              <w:rPr>
                <w:rFonts w:hint="eastAsia" w:ascii="宋体" w:hAnsi="宋体" w:eastAsia="宋体" w:cs="宋体"/>
                <w:sz w:val="24"/>
                <w:szCs w:val="24"/>
              </w:rPr>
            </w:pPr>
            <w:r>
              <w:rPr>
                <w:rFonts w:hint="eastAsia" w:ascii="宋体" w:hAnsi="宋体" w:eastAsia="宋体" w:cs="宋体"/>
                <w:sz w:val="24"/>
                <w:szCs w:val="24"/>
              </w:rPr>
              <w:t>支持壁挂和台式两种安装方式，托板采用单板结构，不接受托板表面折叠</w:t>
            </w:r>
            <w:r>
              <w:rPr>
                <w:rFonts w:hint="eastAsia" w:cs="宋体"/>
                <w:sz w:val="24"/>
                <w:szCs w:val="24"/>
                <w:lang w:eastAsia="zh-CN"/>
              </w:rPr>
              <w:t>设计。</w:t>
            </w:r>
          </w:p>
          <w:p>
            <w:pPr>
              <w:pStyle w:val="13"/>
              <w:keepNext w:val="0"/>
              <w:keepLines w:val="0"/>
              <w:widowControl/>
              <w:numPr>
                <w:numId w:val="0"/>
              </w:numPr>
              <w:suppressLineNumbers w:val="0"/>
              <w:wordWrap w:val="0"/>
              <w:spacing w:before="0" w:beforeAutospacing="1" w:after="0" w:afterAutospacing="1" w:line="240" w:lineRule="auto"/>
              <w:jc w:val="left"/>
            </w:pPr>
            <w:r>
              <w:rPr>
                <w:rFonts w:hint="eastAsia" w:ascii="宋体" w:hAnsi="宋体" w:eastAsia="宋体" w:cs="宋体"/>
                <w:sz w:val="24"/>
                <w:szCs w:val="24"/>
              </w:rPr>
              <w:t>2、清晰度：中心线≥1000线；变焦：整机数码变焦≥10倍；</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3、采用不小于800万镜头，图像色彩：24位；对焦/白平衡：自动；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4、输出格式：图片JPG，文档PDF，视频MP4；拍摄幅面不小于A4，光源：LED灯补光；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5、工作电压：5V，工作电流：小于500mA；动态视频帧率：30帧/秒（1080P）；拍摄幅面：≥A4 幅面；</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6、整机具有安全锁，供电方式：USB供电；内置高灵敏度麦克风；</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7、具有拍照截图、智能连拍功能，支持通用、文档、色彩三种图像模式，方便用户根据实际教学场景切换模式；</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8、不借助物理按键和触摸菜单，通过手势实现图像360°旋转、放大、缩小、移动、全屏等操作；</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9、具有点击方式进行实时画面及图片的同屏对比功能，且支持本地图片导入功能；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10、支持展台画面实时批注，预设多种笔划粗细及颜色供选择，且支持对展台画面联同批注内容进行同步缩放、移动；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11、支持不少于三种裁切模式：无裁切、单图裁切、多图裁切，根据所选模式自动裁切图像，生成正式文档；</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12、同屏对比支持多图联动缩放和单图缩放两种模式，并支持不少于五张图片同屏对比；</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13、支持拍照图片去背景功能；图像修正：具有缺角补边功能；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14、展台软件具有自检功能：硬件检测、解码器、机器序列号等，方便维护升级；</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15、索引栏支持左右位置互换，方便教学使用；且实时画面始终置于索引栏顶部，可随时调用；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16、支持最少5幅展台画面插入白板软件进行批注；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17、具有图片、课件、文档、试卷等二维码分享和保存功能，方便用户留档备存；</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18、提供国家强制性3C认证证书(制造商名 称与生产企业名 称应一致)和环保证书。需具有图像采集处理软件计算机软件著作权证书(著作权人与展台生产企业名 称应一致)并提供证明文件。整机保修三年；软件提供终身免费升级服务，由专职培训讲师免费上门培训软件使用。</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25台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3</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交互式</w:t>
            </w:r>
          </w:p>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推拉黑板</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1、结构：推拉板由四块书写板及铝合金边框组装而成，书写板分内外双层结构，内层为两块固定书写板与触控一体机正面平齐，外层为两块滑动书写板，滑动板配装刻有黑板品  牌LOGO标识的挂锁，开闭自如确保触控一体机的安全管理。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2、尺寸：≥4300mm×1350mm，可根据所配触控一体机产品适当调整，确保与触控一体机产品有效配套。</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3、板面：烤漆绿板，粉笔可书写，光泽度≤12光泽单位。光泽单位，没有因黑板本身原因产生的眩光，书写流畅字迹清晰、板面表面附有一层透明保护膜。</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4、内芯材料：高强度、吸音、聚苯乙烯泡沫板，采用国际适用工艺，书写无吱咔声，改善书写手感。</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5、背板：采用优质镀锌彩涂钢板，厚度≥0.2mm，流水线一次成型，间隔80mm压有20mm凹槽加强筋，确保均布承压不低于635N，凹槽造型美观、增加强度，更加耐用。</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6、覆板：采用环保型双组份聚氨酯胶水，自动化流水线覆板作业，牵引、滴胶、刷胶、压固、切割下料一次完成，确保粘接牢固板面平整，甲醛释放量≤0.2mg/L，符合GB/T 28231-2011《书写板安全卫生要求》。</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7、边框：采用工业用高强度铝合金型材，电泳香槟色，模具挤压一次成型，轨道上置隐藏式平滑轮滑道，结构性解决滑轮受粉尘影响的情况，配有宽度≥30mm的粉尘槽，粉尘槽与滑动系统分离，与边框一次模具成形，防止粉尘垂直落地。</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8、包角材料：采用抗老化高强度ABS工程塑料注塑成型。采用双壁成腔流线型</w:t>
            </w:r>
            <w:r>
              <w:rPr>
                <w:rFonts w:hint="eastAsia" w:ascii="宋体" w:hAnsi="宋体" w:eastAsia="宋体" w:cs="宋体"/>
                <w:sz w:val="24"/>
                <w:szCs w:val="24"/>
              </w:rPr>
              <w:br w:type="textWrapping"/>
            </w:r>
            <w:r>
              <w:rPr>
                <w:rFonts w:hint="eastAsia" w:ascii="宋体" w:hAnsi="宋体" w:eastAsia="宋体" w:cs="宋体"/>
                <w:sz w:val="24"/>
                <w:szCs w:val="24"/>
              </w:rPr>
              <w:t xml:space="preserve">设 </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计，≥R25mm的圆角，正面带黑板品 牌LOGO标识，无尖角毛刺，符合JY0001-2003《教学仪器设备产品一般质量要求》。</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 性好。限位档：黑板边框内部两侧安装滑动板限位档，防止活动黑板开启时撞击立框。</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10、安全性：一把锁实现对滑动黑板的锁定，钥匙通用，方便实用。安装：配装自制钢制安装件，隐形安装、没有外露的挂接件，符合GB 21027-2007《学生用品的安全通用要求》。</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11、包装：采用环保型材料，符合国家产品包装要求，单套或双套纸箱独立包装，箱体印有制造商名 称、LOGO标识、地址、服务热线等信息。</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25幅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4</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智能笔</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1、采用红外技术，USB接收器；采用电池供电、带自动休眠节电</w:t>
            </w:r>
            <w:r>
              <w:rPr>
                <w:rFonts w:hint="eastAsia" w:ascii="宋体" w:hAnsi="宋体" w:eastAsia="宋体" w:cs="宋体"/>
                <w:sz w:val="24"/>
                <w:szCs w:val="24"/>
              </w:rPr>
              <w:br w:type="textWrapping"/>
            </w:r>
            <w:r>
              <w:rPr>
                <w:rFonts w:hint="eastAsia" w:ascii="宋体" w:hAnsi="宋体" w:eastAsia="宋体" w:cs="宋体"/>
                <w:sz w:val="24"/>
                <w:szCs w:val="24"/>
              </w:rPr>
              <w:t>设 计，使用时间不低于100小时。</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2、提供5个按键，至少有一个按键可以自定义，自定义内容包括笔的截图、清页等；</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4、支持长按按键实现ppt播放和结束播放，短按实现上下翻页；支持所有页面的包括office、网页、白板软件的翻页功能。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5、具有远程指示光标，可远距离控制光标，实现激光笔演示效果功能。</w:t>
            </w:r>
          </w:p>
          <w:p>
            <w:pPr>
              <w:pStyle w:val="13"/>
              <w:keepNext w:val="0"/>
              <w:keepLines w:val="0"/>
              <w:widowControl/>
              <w:suppressLineNumbers w:val="0"/>
              <w:wordWrap w:val="0"/>
              <w:spacing w:before="0" w:beforeAutospacing="1" w:after="0" w:afterAutospacing="1" w:line="240" w:lineRule="auto"/>
              <w:jc w:val="left"/>
            </w:pPr>
            <w:r>
              <w:rPr>
                <w:rFonts w:hint="eastAsia" w:ascii="宋体" w:hAnsi="宋体" w:eastAsia="宋体" w:cs="宋体"/>
                <w:sz w:val="24"/>
                <w:szCs w:val="24"/>
              </w:rPr>
              <w:t>6、支持自动连接，可自动识别并连接，无需手动连接。</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25支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5</w:t>
            </w:r>
          </w:p>
        </w:tc>
        <w:tc>
          <w:tcPr>
            <w:tcW w:w="130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安装线材</w:t>
            </w:r>
          </w:p>
        </w:tc>
        <w:tc>
          <w:tcPr>
            <w:tcW w:w="66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13"/>
              <w:keepNext w:val="0"/>
              <w:keepLines w:val="0"/>
              <w:widowControl/>
              <w:suppressLineNumbers w:val="0"/>
              <w:spacing w:before="0" w:beforeAutospacing="1" w:after="0" w:afterAutospacing="1" w:line="360" w:lineRule="auto"/>
              <w:jc w:val="left"/>
            </w:pPr>
            <w:r>
              <w:rPr>
                <w:rFonts w:hint="eastAsia" w:ascii="宋体" w:hAnsi="宋体" w:eastAsia="宋体" w:cs="宋体"/>
                <w:sz w:val="24"/>
                <w:szCs w:val="24"/>
              </w:rPr>
              <w:t>含专用触控一体机壁挂架、网络线、视音频线、PVC管、PVC线槽等满足工程项目实施所必需的线材和辅材及运输、搬运、安装调试费等。</w:t>
            </w:r>
          </w:p>
        </w:tc>
        <w:tc>
          <w:tcPr>
            <w:tcW w:w="8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before="0" w:beforeAutospacing="1" w:after="0" w:afterAutospacing="1" w:line="360" w:lineRule="auto"/>
              <w:jc w:val="center"/>
            </w:pPr>
            <w:r>
              <w:rPr>
                <w:rFonts w:hint="eastAsia" w:ascii="宋体" w:hAnsi="宋体" w:eastAsia="宋体" w:cs="宋体"/>
                <w:sz w:val="24"/>
                <w:szCs w:val="24"/>
              </w:rPr>
              <w:t>25套</w:t>
            </w:r>
          </w:p>
        </w:tc>
      </w:tr>
    </w:tbl>
    <w:p/>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3"/>
      </w:pPr>
      <w:bookmarkStart w:id="5" w:name="_Toc16362"/>
      <w:r>
        <w:t>三、商务条件（以下内容不允许负偏离）</w:t>
      </w:r>
      <w:bookmarkEnd w:id="5"/>
    </w:p>
    <w:p>
      <w:pPr>
        <w:pStyle w:val="13"/>
        <w:keepNext w:val="0"/>
        <w:keepLines w:val="0"/>
        <w:widowControl/>
        <w:suppressLineNumbers w:val="0"/>
        <w:spacing w:before="75" w:beforeAutospacing="0" w:after="75" w:afterAutospacing="0"/>
        <w:ind w:left="0" w:right="0" w:firstLine="0"/>
      </w:pPr>
      <w:r>
        <w:rPr>
          <w:rStyle w:val="16"/>
          <w:rFonts w:hint="eastAsia" w:ascii="宋体" w:hAnsi="宋体" w:eastAsia="宋体" w:cs="宋体"/>
          <w:i w:val="0"/>
          <w:caps w:val="0"/>
          <w:color w:val="000000"/>
          <w:spacing w:val="0"/>
          <w:sz w:val="24"/>
          <w:szCs w:val="24"/>
        </w:rPr>
        <w:t>包：1</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 xml:space="preserve">1、交付地点：福建省三明市将乐县教育局指定学校指定地点安装 </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2、交付时间：合同签订后 (30 ) 天内交货</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3、交付条件：按招标文件要求</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 xml:space="preserve">6、验收方式数据表格 </w:t>
      </w:r>
    </w:p>
    <w:p>
      <w:pPr>
        <w:keepNext w:val="0"/>
        <w:keepLines w:val="0"/>
        <w:widowControl/>
        <w:suppressLineNumbers w:val="0"/>
        <w:jc w:val="left"/>
      </w:pPr>
      <w:r>
        <w:rPr>
          <w:rStyle w:val="16"/>
          <w:rFonts w:ascii="宋体" w:hAnsi="宋体" w:eastAsia="宋体" w:cs="宋体"/>
          <w:kern w:val="0"/>
          <w:sz w:val="24"/>
          <w:szCs w:val="24"/>
          <w:lang w:val="en-US" w:eastAsia="zh-CN" w:bidi="ar"/>
        </w:rPr>
        <w:t xml:space="preserve">7、支付方式数据表格 </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验收合格后支付合同总额90%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使用一年后无质量问题后支付合同总额10%</w:t>
            </w:r>
          </w:p>
        </w:tc>
      </w:tr>
    </w:tbl>
    <w:p>
      <w:pPr>
        <w:pStyle w:val="13"/>
        <w:keepNext w:val="0"/>
        <w:keepLines w:val="0"/>
        <w:widowControl/>
        <w:suppressLineNumbers w:val="0"/>
        <w:spacing w:before="75" w:beforeAutospacing="0" w:after="75" w:afterAutospacing="0"/>
        <w:ind w:left="0" w:right="0" w:firstLine="0"/>
      </w:pPr>
      <w:r>
        <w:rPr>
          <w:spacing w:val="0"/>
          <w:sz w:val="24"/>
          <w:szCs w:val="24"/>
        </w:rPr>
        <w:t> </w:t>
      </w:r>
    </w:p>
    <w:p>
      <w:pPr>
        <w:pStyle w:val="2"/>
        <w:rPr>
          <w:rFonts w:ascii="宋体" w:hAnsi="宋体" w:eastAsia="宋体" w:cs="宋体"/>
          <w:kern w:val="0"/>
          <w:sz w:val="24"/>
          <w:szCs w:val="24"/>
        </w:rPr>
      </w:pPr>
      <w:bookmarkStart w:id="6" w:name="_Toc4391"/>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pPr>
      <w:bookmarkStart w:id="7" w:name="_Toc15571"/>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0229"/>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586"/>
      <w:r>
        <w:rPr>
          <w:rFonts w:hint="eastAsia"/>
        </w:rPr>
        <w:t>3、资格证明文件</w:t>
      </w:r>
      <w:bookmarkEnd w:id="9"/>
    </w:p>
    <w:p>
      <w:pPr>
        <w:pStyle w:val="4"/>
      </w:pPr>
      <w:bookmarkStart w:id="10" w:name="_Toc4129"/>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4764"/>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17523"/>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13724"/>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outlineLvl w:val="0"/>
      </w:pPr>
      <w:bookmarkStart w:id="14" w:name="_Toc513644011"/>
      <w:bookmarkStart w:id="15" w:name="_Toc30361"/>
      <w:r>
        <w:rPr>
          <w:rFonts w:hint="eastAsia"/>
          <w:lang w:val="en-US" w:eastAsia="zh-CN"/>
        </w:rPr>
        <w:t>6</w:t>
      </w:r>
      <w:r>
        <w:t>、</w:t>
      </w:r>
      <w:r>
        <w:rPr>
          <w:rFonts w:hint="eastAsia"/>
        </w:rPr>
        <w:t>售后服务承诺函</w:t>
      </w:r>
      <w:bookmarkEnd w:id="14"/>
      <w:bookmarkEnd w:id="15"/>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abstractNum w:abstractNumId="1">
    <w:nsid w:val="A0C8BA64"/>
    <w:multiLevelType w:val="singleLevel"/>
    <w:tmpl w:val="A0C8BA6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41E5699"/>
    <w:rsid w:val="25FB6742"/>
    <w:rsid w:val="393D1674"/>
    <w:rsid w:val="3B71101E"/>
    <w:rsid w:val="3F3A189E"/>
    <w:rsid w:val="3F5469C5"/>
    <w:rsid w:val="46FC052E"/>
    <w:rsid w:val="47B34E4F"/>
    <w:rsid w:val="528B5B99"/>
    <w:rsid w:val="59DB3041"/>
    <w:rsid w:val="5C90120E"/>
    <w:rsid w:val="607B45E5"/>
    <w:rsid w:val="63E1130F"/>
    <w:rsid w:val="665374DB"/>
    <w:rsid w:val="6CE72079"/>
    <w:rsid w:val="6DBA2F84"/>
    <w:rsid w:val="6E0D7A94"/>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1</TotalTime>
  <ScaleCrop>false</ScaleCrop>
  <LinksUpToDate>false</LinksUpToDate>
  <CharactersWithSpaces>15172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2020-06-11T02:16:15Z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