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A4" w:rsidRDefault="00B45EA4">
      <w:pPr>
        <w:spacing w:line="460" w:lineRule="exact"/>
        <w:jc w:val="center"/>
        <w:rPr>
          <w:rFonts w:eastAsia="黑体"/>
          <w:b/>
          <w:bCs/>
          <w:sz w:val="32"/>
        </w:rPr>
      </w:pPr>
    </w:p>
    <w:p w:rsidR="00B45EA4" w:rsidRDefault="00B45EA4">
      <w:pPr>
        <w:spacing w:line="460" w:lineRule="exact"/>
        <w:jc w:val="center"/>
        <w:rPr>
          <w:rFonts w:eastAsia="黑体"/>
          <w:b/>
          <w:bCs/>
          <w:sz w:val="32"/>
        </w:rPr>
      </w:pPr>
    </w:p>
    <w:p w:rsidR="00B45EA4" w:rsidRDefault="00B45EA4">
      <w:pPr>
        <w:spacing w:line="460" w:lineRule="exact"/>
        <w:jc w:val="center"/>
        <w:rPr>
          <w:rFonts w:eastAsia="黑体"/>
          <w:b/>
          <w:bCs/>
          <w:sz w:val="32"/>
        </w:rPr>
      </w:pPr>
    </w:p>
    <w:p w:rsidR="00B45EA4" w:rsidRDefault="00B45EA4">
      <w:pPr>
        <w:pStyle w:val="a3"/>
        <w:spacing w:line="1200" w:lineRule="exact"/>
        <w:rPr>
          <w:sz w:val="52"/>
        </w:rPr>
      </w:pPr>
    </w:p>
    <w:p w:rsidR="00B45EA4" w:rsidRDefault="003A4F25">
      <w:pPr>
        <w:pStyle w:val="a3"/>
        <w:spacing w:line="1200" w:lineRule="exact"/>
        <w:rPr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sz w:val="44"/>
          <w:szCs w:val="44"/>
        </w:rPr>
        <w:t>20</w:t>
      </w:r>
      <w:r w:rsidR="00EB4174">
        <w:rPr>
          <w:rFonts w:hint="eastAsia"/>
          <w:sz w:val="44"/>
          <w:szCs w:val="44"/>
        </w:rPr>
        <w:t>年泉州分公司</w:t>
      </w:r>
      <w:proofErr w:type="gramStart"/>
      <w:r w:rsidR="00EB4174">
        <w:rPr>
          <w:rFonts w:hint="eastAsia"/>
          <w:sz w:val="44"/>
          <w:szCs w:val="44"/>
        </w:rPr>
        <w:t>洛</w:t>
      </w:r>
      <w:proofErr w:type="gramEnd"/>
      <w:r w:rsidR="00EB4174">
        <w:rPr>
          <w:rFonts w:hint="eastAsia"/>
          <w:sz w:val="44"/>
          <w:szCs w:val="44"/>
        </w:rPr>
        <w:t>江马甲中心机房</w:t>
      </w:r>
    </w:p>
    <w:p w:rsidR="00B45EA4" w:rsidRDefault="00EB4174">
      <w:pPr>
        <w:pStyle w:val="a3"/>
        <w:spacing w:line="1200" w:lineRule="exact"/>
        <w:rPr>
          <w:sz w:val="52"/>
        </w:rPr>
      </w:pPr>
      <w:r>
        <w:rPr>
          <w:rFonts w:hint="eastAsia"/>
          <w:sz w:val="44"/>
          <w:szCs w:val="44"/>
        </w:rPr>
        <w:t>设计说明</w:t>
      </w:r>
    </w:p>
    <w:p w:rsidR="00B45EA4" w:rsidRDefault="00B45EA4">
      <w:pPr>
        <w:spacing w:line="460" w:lineRule="exact"/>
        <w:jc w:val="center"/>
        <w:rPr>
          <w:rFonts w:eastAsia="黑体"/>
          <w:sz w:val="32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32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32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32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32"/>
        </w:rPr>
      </w:pPr>
    </w:p>
    <w:p w:rsidR="00B45EA4" w:rsidRDefault="00B45EA4">
      <w:pPr>
        <w:spacing w:line="460" w:lineRule="exact"/>
        <w:jc w:val="center"/>
        <w:rPr>
          <w:sz w:val="28"/>
        </w:rPr>
      </w:pPr>
    </w:p>
    <w:p w:rsidR="00B45EA4" w:rsidRDefault="00B45EA4">
      <w:pPr>
        <w:spacing w:line="460" w:lineRule="exact"/>
        <w:jc w:val="center"/>
        <w:rPr>
          <w:sz w:val="28"/>
        </w:rPr>
      </w:pPr>
    </w:p>
    <w:p w:rsidR="00B45EA4" w:rsidRDefault="00B45EA4">
      <w:pPr>
        <w:spacing w:line="460" w:lineRule="exact"/>
        <w:jc w:val="center"/>
        <w:rPr>
          <w:sz w:val="28"/>
        </w:rPr>
      </w:pPr>
    </w:p>
    <w:p w:rsidR="00B45EA4" w:rsidRDefault="00B45EA4">
      <w:pPr>
        <w:spacing w:line="460" w:lineRule="exact"/>
        <w:jc w:val="center"/>
        <w:rPr>
          <w:sz w:val="28"/>
        </w:rPr>
      </w:pPr>
    </w:p>
    <w:p w:rsidR="00B45EA4" w:rsidRDefault="00B45EA4">
      <w:pPr>
        <w:spacing w:line="460" w:lineRule="exact"/>
        <w:jc w:val="center"/>
        <w:rPr>
          <w:sz w:val="28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28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28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28"/>
        </w:rPr>
      </w:pPr>
    </w:p>
    <w:p w:rsidR="00B45EA4" w:rsidRDefault="00B45EA4">
      <w:pPr>
        <w:spacing w:line="460" w:lineRule="exact"/>
        <w:jc w:val="center"/>
        <w:rPr>
          <w:rFonts w:eastAsia="黑体"/>
          <w:sz w:val="28"/>
        </w:rPr>
      </w:pPr>
    </w:p>
    <w:p w:rsidR="00B45EA4" w:rsidRDefault="00B45EA4">
      <w:pPr>
        <w:spacing w:line="460" w:lineRule="exact"/>
        <w:jc w:val="center"/>
        <w:rPr>
          <w:rFonts w:eastAsia="黑体"/>
          <w:b/>
          <w:bCs/>
          <w:sz w:val="32"/>
        </w:rPr>
      </w:pPr>
    </w:p>
    <w:p w:rsidR="00B45EA4" w:rsidRDefault="00EB4174">
      <w:pPr>
        <w:spacing w:line="700" w:lineRule="exact"/>
        <w:jc w:val="center"/>
        <w:rPr>
          <w:rFonts w:eastAsia="黑体"/>
          <w:b/>
          <w:bCs/>
          <w:sz w:val="32"/>
        </w:rPr>
      </w:pPr>
      <w:r>
        <w:rPr>
          <w:rFonts w:eastAsia="黑体"/>
          <w:b/>
          <w:bCs/>
          <w:sz w:val="32"/>
        </w:rPr>
        <w:br w:type="page"/>
      </w:r>
      <w:r>
        <w:rPr>
          <w:rFonts w:eastAsia="黑体" w:hint="eastAsia"/>
          <w:b/>
          <w:bCs/>
          <w:sz w:val="32"/>
        </w:rPr>
        <w:lastRenderedPageBreak/>
        <w:t>目录</w:t>
      </w:r>
    </w:p>
    <w:p w:rsidR="00B45EA4" w:rsidRDefault="00B45EA4">
      <w:pPr>
        <w:spacing w:line="600" w:lineRule="exact"/>
        <w:jc w:val="center"/>
        <w:rPr>
          <w:rFonts w:eastAsia="黑体"/>
          <w:b/>
          <w:bCs/>
          <w:sz w:val="32"/>
        </w:rPr>
      </w:pPr>
    </w:p>
    <w:p w:rsidR="00B45EA4" w:rsidRDefault="00EB4174">
      <w:pPr>
        <w:numPr>
          <w:ilvl w:val="0"/>
          <w:numId w:val="1"/>
        </w:numPr>
        <w:spacing w:line="600" w:lineRule="exact"/>
        <w:rPr>
          <w:rFonts w:eastAsia="黑体"/>
          <w:sz w:val="28"/>
        </w:rPr>
      </w:pPr>
      <w:r>
        <w:rPr>
          <w:rFonts w:eastAsia="黑体" w:hint="eastAsia"/>
          <w:sz w:val="28"/>
        </w:rPr>
        <w:t>总体设计说明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sz w:val="28"/>
        </w:rPr>
      </w:pPr>
      <w:r>
        <w:rPr>
          <w:rFonts w:hint="eastAsia"/>
          <w:sz w:val="28"/>
        </w:rPr>
        <w:t>工程概述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sz w:val="28"/>
        </w:rPr>
      </w:pPr>
      <w:r>
        <w:rPr>
          <w:rFonts w:hint="eastAsia"/>
          <w:sz w:val="28"/>
        </w:rPr>
        <w:t>设计依据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sz w:val="28"/>
        </w:rPr>
      </w:pPr>
      <w:r>
        <w:rPr>
          <w:rFonts w:hint="eastAsia"/>
          <w:bCs/>
          <w:sz w:val="28"/>
        </w:rPr>
        <w:t>设计思路与要点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bCs/>
          <w:sz w:val="28"/>
        </w:rPr>
      </w:pPr>
      <w:r>
        <w:rPr>
          <w:rFonts w:hint="eastAsia"/>
          <w:bCs/>
          <w:sz w:val="28"/>
        </w:rPr>
        <w:t>装修设计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bCs/>
          <w:sz w:val="28"/>
        </w:rPr>
      </w:pPr>
      <w:r>
        <w:rPr>
          <w:rFonts w:hint="eastAsia"/>
          <w:bCs/>
          <w:sz w:val="28"/>
        </w:rPr>
        <w:t>布线设计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bCs/>
          <w:sz w:val="28"/>
        </w:rPr>
      </w:pPr>
      <w:r>
        <w:rPr>
          <w:rFonts w:hint="eastAsia"/>
          <w:bCs/>
          <w:sz w:val="28"/>
        </w:rPr>
        <w:t>电气设计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sz w:val="28"/>
        </w:rPr>
      </w:pPr>
      <w:r>
        <w:rPr>
          <w:rFonts w:hint="eastAsia"/>
          <w:bCs/>
          <w:sz w:val="28"/>
        </w:rPr>
        <w:t>空调设计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sz w:val="28"/>
        </w:rPr>
      </w:pPr>
      <w:r>
        <w:rPr>
          <w:rFonts w:hint="eastAsia"/>
          <w:bCs/>
          <w:sz w:val="28"/>
        </w:rPr>
        <w:t>动力环境监控设计</w:t>
      </w:r>
    </w:p>
    <w:p w:rsidR="00B45EA4" w:rsidRDefault="00EB4174">
      <w:pPr>
        <w:numPr>
          <w:ilvl w:val="0"/>
          <w:numId w:val="2"/>
        </w:numPr>
        <w:spacing w:line="600" w:lineRule="exact"/>
        <w:ind w:hanging="699"/>
        <w:rPr>
          <w:sz w:val="28"/>
        </w:rPr>
      </w:pPr>
      <w:r>
        <w:rPr>
          <w:rFonts w:hint="eastAsia"/>
          <w:bCs/>
          <w:sz w:val="28"/>
        </w:rPr>
        <w:t>消防设计</w:t>
      </w:r>
    </w:p>
    <w:p w:rsidR="00B45EA4" w:rsidRDefault="00B45EA4">
      <w:pPr>
        <w:spacing w:line="600" w:lineRule="exact"/>
        <w:ind w:left="426"/>
        <w:rPr>
          <w:sz w:val="28"/>
        </w:rPr>
      </w:pPr>
    </w:p>
    <w:p w:rsidR="00B45EA4" w:rsidRDefault="00B45EA4">
      <w:pPr>
        <w:spacing w:line="460" w:lineRule="exact"/>
        <w:rPr>
          <w:sz w:val="24"/>
        </w:rPr>
      </w:pPr>
    </w:p>
    <w:p w:rsidR="00B45EA4" w:rsidRDefault="00EB4174">
      <w:pPr>
        <w:spacing w:line="45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B45EA4" w:rsidRDefault="00EB4174">
      <w:pPr>
        <w:numPr>
          <w:ilvl w:val="1"/>
          <w:numId w:val="2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总体设计说明</w:t>
      </w:r>
    </w:p>
    <w:p w:rsidR="00B45EA4" w:rsidRDefault="00B45EA4">
      <w:pPr>
        <w:spacing w:line="500" w:lineRule="exact"/>
        <w:ind w:left="420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工程概述</w:t>
      </w:r>
    </w:p>
    <w:p w:rsidR="00B45EA4" w:rsidRDefault="00EB4174">
      <w:pPr>
        <w:snapToGrid w:val="0"/>
        <w:spacing w:line="50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本工程为</w:t>
      </w:r>
      <w:r w:rsidR="003A4F25">
        <w:rPr>
          <w:rFonts w:hint="eastAsia"/>
          <w:sz w:val="24"/>
        </w:rPr>
        <w:t>20</w:t>
      </w:r>
      <w:r w:rsidR="003A4F25">
        <w:rPr>
          <w:sz w:val="24"/>
        </w:rPr>
        <w:t>20</w:t>
      </w:r>
      <w:bookmarkStart w:id="0" w:name="_GoBack"/>
      <w:bookmarkEnd w:id="0"/>
      <w:r>
        <w:rPr>
          <w:rFonts w:hint="eastAsia"/>
          <w:sz w:val="24"/>
        </w:rPr>
        <w:t>年泉州分公司</w:t>
      </w:r>
      <w:proofErr w:type="gramStart"/>
      <w:r>
        <w:rPr>
          <w:rFonts w:hint="eastAsia"/>
          <w:sz w:val="24"/>
        </w:rPr>
        <w:t>洛</w:t>
      </w:r>
      <w:proofErr w:type="gramEnd"/>
      <w:r>
        <w:rPr>
          <w:rFonts w:hint="eastAsia"/>
          <w:sz w:val="24"/>
        </w:rPr>
        <w:t>江马甲中心机房建设工程，机房位于泉州市</w:t>
      </w:r>
      <w:proofErr w:type="gramStart"/>
      <w:r>
        <w:rPr>
          <w:rFonts w:hint="eastAsia"/>
          <w:sz w:val="24"/>
        </w:rPr>
        <w:t>洛</w:t>
      </w:r>
      <w:proofErr w:type="gramEnd"/>
      <w:r>
        <w:rPr>
          <w:rFonts w:hint="eastAsia"/>
          <w:sz w:val="24"/>
        </w:rPr>
        <w:t>江区马甲镇广电网络新大楼四层，机房面积</w:t>
      </w:r>
      <w:r>
        <w:rPr>
          <w:rFonts w:hint="eastAsia"/>
          <w:sz w:val="24"/>
        </w:rPr>
        <w:t>97.4m2</w:t>
      </w:r>
      <w:r>
        <w:rPr>
          <w:rFonts w:hint="eastAsia"/>
          <w:sz w:val="24"/>
        </w:rPr>
        <w:t>，工程投资预算</w:t>
      </w:r>
      <w:r w:rsidR="002869ED">
        <w:rPr>
          <w:sz w:val="24"/>
        </w:rPr>
        <w:t>492485</w:t>
      </w:r>
      <w:r>
        <w:rPr>
          <w:rFonts w:hint="eastAsia"/>
          <w:sz w:val="24"/>
        </w:rPr>
        <w:t>元。</w:t>
      </w:r>
    </w:p>
    <w:p w:rsidR="00B45EA4" w:rsidRDefault="00B45EA4" w:rsidP="00A14E5F">
      <w:pPr>
        <w:snapToGrid w:val="0"/>
        <w:spacing w:line="500" w:lineRule="atLeast"/>
        <w:ind w:firstLineChars="200" w:firstLine="562"/>
        <w:rPr>
          <w:b/>
          <w:bCs/>
          <w:sz w:val="28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设计依据</w:t>
      </w:r>
    </w:p>
    <w:p w:rsidR="00B45EA4" w:rsidRDefault="00B45EA4">
      <w:pPr>
        <w:spacing w:line="500" w:lineRule="exact"/>
        <w:rPr>
          <w:b/>
          <w:bCs/>
          <w:sz w:val="28"/>
        </w:rPr>
      </w:pP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《数据中心设计规范》</w:t>
      </w:r>
      <w:r>
        <w:rPr>
          <w:rFonts w:hint="eastAsia"/>
          <w:sz w:val="24"/>
        </w:rPr>
        <w:t>GB50174-2017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《数据中心基础设施施工及验收规范》</w:t>
      </w:r>
      <w:r>
        <w:rPr>
          <w:rFonts w:hint="eastAsia"/>
          <w:sz w:val="24"/>
        </w:rPr>
        <w:t>GB50462-2015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《电子计算机场地通用规范》</w:t>
      </w:r>
      <w:r>
        <w:rPr>
          <w:rFonts w:hint="eastAsia"/>
          <w:sz w:val="24"/>
        </w:rPr>
        <w:t>GB/T2887-2011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《通信局（站）电源系统总技术要求》</w:t>
      </w:r>
      <w:r>
        <w:rPr>
          <w:rFonts w:hint="eastAsia"/>
          <w:sz w:val="24"/>
        </w:rPr>
        <w:t>YD/T1051-2010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《通信电源设备安装设计规范》</w:t>
      </w:r>
      <w:r>
        <w:rPr>
          <w:rFonts w:hint="eastAsia"/>
          <w:sz w:val="24"/>
        </w:rPr>
        <w:t>YD5040-2005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《建筑物防雷设计规范》</w:t>
      </w:r>
      <w:r>
        <w:rPr>
          <w:rFonts w:hint="eastAsia"/>
          <w:sz w:val="24"/>
        </w:rPr>
        <w:t>GB50057-2010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《建筑物电子信息系统防雷技术规范》</w:t>
      </w:r>
      <w:r>
        <w:rPr>
          <w:rFonts w:hint="eastAsia"/>
          <w:sz w:val="24"/>
        </w:rPr>
        <w:t>GB50343-2012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《建筑设计防火规范》</w:t>
      </w:r>
      <w:r>
        <w:rPr>
          <w:rFonts w:hint="eastAsia"/>
          <w:sz w:val="24"/>
        </w:rPr>
        <w:t>GB50016-2014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《通讯设备安装抗震设计规范》</w:t>
      </w:r>
      <w:r>
        <w:rPr>
          <w:rFonts w:hint="eastAsia"/>
          <w:sz w:val="24"/>
        </w:rPr>
        <w:t>YD5059-2005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《广播电影电视工程技术用房照明设计规范》</w:t>
      </w:r>
      <w:r>
        <w:rPr>
          <w:rFonts w:hint="eastAsia"/>
          <w:sz w:val="24"/>
        </w:rPr>
        <w:t>GY/T5061-2015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《工业企业照明设计标准》</w:t>
      </w:r>
      <w:r>
        <w:rPr>
          <w:rFonts w:hint="eastAsia"/>
          <w:sz w:val="24"/>
        </w:rPr>
        <w:t>GB50034-2013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《综合布线验收规范》</w:t>
      </w:r>
      <w:r>
        <w:rPr>
          <w:rFonts w:hint="eastAsia"/>
          <w:sz w:val="24"/>
        </w:rPr>
        <w:t>GB50312-2007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《计算机机房用抗静电活动地板技术条件》</w:t>
      </w:r>
      <w:r>
        <w:rPr>
          <w:rFonts w:hint="eastAsia"/>
          <w:sz w:val="24"/>
        </w:rPr>
        <w:t>SJ/T10796-2001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《安全防范工程技术规范》</w:t>
      </w:r>
      <w:r>
        <w:rPr>
          <w:rFonts w:hint="eastAsia"/>
          <w:sz w:val="24"/>
        </w:rPr>
        <w:t>GB50348-2018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《建筑玻璃应用技术规程》</w:t>
      </w:r>
      <w:r>
        <w:rPr>
          <w:rFonts w:hint="eastAsia"/>
          <w:sz w:val="24"/>
        </w:rPr>
        <w:t>JGJ113-2015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《有线电视网络工程施工及验收规范》</w:t>
      </w:r>
      <w:r>
        <w:rPr>
          <w:rFonts w:hint="eastAsia"/>
          <w:sz w:val="24"/>
        </w:rPr>
        <w:t>GY5073-2005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《市、县广播数字电视网设计规范》</w:t>
      </w:r>
      <w:r>
        <w:rPr>
          <w:rFonts w:hint="eastAsia"/>
          <w:sz w:val="24"/>
        </w:rPr>
        <w:t>GY5063-1998</w:t>
      </w:r>
    </w:p>
    <w:p w:rsidR="00B45EA4" w:rsidRDefault="00EB4174">
      <w:pPr>
        <w:tabs>
          <w:tab w:val="left" w:pos="540"/>
        </w:tabs>
        <w:spacing w:line="5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设计人员现场勘查获得的基础资料</w:t>
      </w:r>
    </w:p>
    <w:p w:rsidR="00B45EA4" w:rsidRDefault="00EB4174">
      <w:pPr>
        <w:tabs>
          <w:tab w:val="left" w:pos="540"/>
        </w:tabs>
        <w:spacing w:line="5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设计过程中的泉州分公司对机房建设的具体要求及修改意见</w:t>
      </w: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设计思路与要点</w:t>
      </w:r>
    </w:p>
    <w:p w:rsidR="00B45EA4" w:rsidRDefault="00B45EA4">
      <w:pPr>
        <w:spacing w:line="500" w:lineRule="exact"/>
        <w:ind w:firstLine="435"/>
        <w:rPr>
          <w:sz w:val="24"/>
        </w:rPr>
      </w:pP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设计思路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泉州分公司</w:t>
      </w:r>
      <w:proofErr w:type="gramStart"/>
      <w:r>
        <w:rPr>
          <w:rFonts w:hint="eastAsia"/>
          <w:sz w:val="24"/>
        </w:rPr>
        <w:t>洛</w:t>
      </w:r>
      <w:proofErr w:type="gramEnd"/>
      <w:r>
        <w:rPr>
          <w:rFonts w:hint="eastAsia"/>
          <w:sz w:val="24"/>
        </w:rPr>
        <w:t>江马甲中心机房规划设计的思路：建造一个布局合理、电气稳定、安全可靠、绿色节能、适应未来发展的广播电视传输机房。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泉州分公司</w:t>
      </w:r>
      <w:proofErr w:type="gramStart"/>
      <w:r>
        <w:rPr>
          <w:rFonts w:hint="eastAsia"/>
          <w:sz w:val="24"/>
        </w:rPr>
        <w:t>洛</w:t>
      </w:r>
      <w:proofErr w:type="gramEnd"/>
      <w:r>
        <w:rPr>
          <w:rFonts w:hint="eastAsia"/>
          <w:sz w:val="24"/>
        </w:rPr>
        <w:t>江马甲中心机房总体规划：机房分两期建设，使用钢化玻璃将机房隔断，根据机房的环境和空间大小，将传输机柜和电源设备分区域放置，合理布局。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机房平面布局，主要考虑电子设备对环境的要求、信号处理的工艺流程、操作人员的行走路线、设备及设施的合理间距、抗震防护等级、电源系统稳定可靠要求、空调设备对机柜设备制冷效果、电子设备对环境的洁净度要求、动力环境监控内容选择等诸多因素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设计要点：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）装修：整洁、防尘、隔热、防水、防鼠、防盗。选用环保、无害、易清洁、防电磁干扰、防火等耐用材料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）布线：机柜布局、桥架线槽安装、线路保护、工艺布线。选用质量可靠的产品。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）电气：用电功率计算、供电线路配置、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主机和应急发电机配置、防电源浪涌保护、接地线路引入、安全保护接地。选用质量稳定可靠、合格许可的电气产品。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）空调：冷量计算、空调形式、气流组织、节能降耗。选用稳定可靠的商用空调。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动环监控</w:t>
      </w:r>
      <w:proofErr w:type="gramEnd"/>
      <w:r>
        <w:rPr>
          <w:rFonts w:hint="eastAsia"/>
          <w:sz w:val="24"/>
        </w:rPr>
        <w:t>：监控内容、系统搭建、系统兼容。选用通用性强的知名品牌产品。</w:t>
      </w:r>
    </w:p>
    <w:p w:rsidR="00B45EA4" w:rsidRDefault="00EB4174"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）消防：报警系统、自动气体灭火系统、手动灭火器。根据机房实际需要，合理配置消防设施。</w:t>
      </w:r>
    </w:p>
    <w:p w:rsidR="00B45EA4" w:rsidRDefault="00B45EA4">
      <w:pPr>
        <w:spacing w:line="500" w:lineRule="exact"/>
        <w:ind w:leftChars="270" w:left="567" w:firstLineChars="63" w:firstLine="151"/>
        <w:rPr>
          <w:sz w:val="24"/>
        </w:rPr>
      </w:pPr>
    </w:p>
    <w:p w:rsidR="00B45EA4" w:rsidRDefault="00B45EA4">
      <w:pPr>
        <w:spacing w:line="500" w:lineRule="exact"/>
        <w:ind w:leftChars="270" w:left="567" w:firstLineChars="63" w:firstLine="151"/>
        <w:rPr>
          <w:sz w:val="24"/>
        </w:rPr>
      </w:pPr>
    </w:p>
    <w:p w:rsidR="00B45EA4" w:rsidRDefault="00B45EA4">
      <w:pPr>
        <w:spacing w:line="500" w:lineRule="exact"/>
        <w:ind w:leftChars="270" w:left="567" w:firstLineChars="63" w:firstLine="151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装修设计</w:t>
      </w:r>
    </w:p>
    <w:p w:rsidR="00B45EA4" w:rsidRDefault="00B45EA4">
      <w:pPr>
        <w:tabs>
          <w:tab w:val="left" w:pos="709"/>
        </w:tabs>
        <w:spacing w:line="500" w:lineRule="exact"/>
        <w:rPr>
          <w:sz w:val="24"/>
        </w:rPr>
      </w:pP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地面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机房地面为</w:t>
      </w:r>
      <w:r>
        <w:rPr>
          <w:rFonts w:hint="eastAsia"/>
          <w:sz w:val="24"/>
        </w:rPr>
        <w:t>800*800</w:t>
      </w:r>
      <w:proofErr w:type="gramStart"/>
      <w:r>
        <w:rPr>
          <w:rFonts w:hint="eastAsia"/>
          <w:sz w:val="24"/>
        </w:rPr>
        <w:t>玻</w:t>
      </w:r>
      <w:proofErr w:type="gramEnd"/>
      <w:r>
        <w:rPr>
          <w:rFonts w:hint="eastAsia"/>
          <w:sz w:val="24"/>
        </w:rPr>
        <w:t>化砖地面。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门窗</w:t>
      </w:r>
    </w:p>
    <w:p w:rsidR="00B45EA4" w:rsidRDefault="00EB4174">
      <w:pPr>
        <w:spacing w:line="500" w:lineRule="exact"/>
        <w:ind w:firstLine="480"/>
        <w:rPr>
          <w:sz w:val="24"/>
        </w:rPr>
      </w:pPr>
      <w:r>
        <w:rPr>
          <w:rFonts w:hint="eastAsia"/>
          <w:sz w:val="24"/>
        </w:rPr>
        <w:t>机房原</w:t>
      </w:r>
      <w:r>
        <w:rPr>
          <w:rFonts w:hint="eastAsia"/>
          <w:sz w:val="24"/>
        </w:rPr>
        <w:t>2</w:t>
      </w:r>
      <w:proofErr w:type="gramStart"/>
      <w:r>
        <w:rPr>
          <w:rFonts w:hint="eastAsia"/>
          <w:sz w:val="24"/>
        </w:rPr>
        <w:t>樘</w:t>
      </w:r>
      <w:proofErr w:type="gramEnd"/>
      <w:r>
        <w:rPr>
          <w:rFonts w:hint="eastAsia"/>
          <w:sz w:val="24"/>
        </w:rPr>
        <w:t>1200*2100mm</w:t>
      </w:r>
      <w:r>
        <w:rPr>
          <w:rFonts w:hint="eastAsia"/>
          <w:sz w:val="24"/>
        </w:rPr>
        <w:t>内开钢质防火门改装为外开门，进出机房由门禁刷卡系统控制。</w:t>
      </w:r>
    </w:p>
    <w:p w:rsidR="00B45EA4" w:rsidRDefault="00EB4174">
      <w:pPr>
        <w:tabs>
          <w:tab w:val="left" w:pos="709"/>
        </w:tabs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</w:t>
      </w:r>
      <w:proofErr w:type="gramStart"/>
      <w:r>
        <w:rPr>
          <w:rFonts w:hint="eastAsia"/>
          <w:sz w:val="24"/>
        </w:rPr>
        <w:t>内外窗</w:t>
      </w:r>
      <w:proofErr w:type="gramEnd"/>
      <w:r>
        <w:rPr>
          <w:rFonts w:hint="eastAsia"/>
          <w:sz w:val="24"/>
        </w:rPr>
        <w:t>为铝合金窗，外窗锁死，使用玻璃胶密封，轻钢龙骨单面硅酸钙板封堵，硅酸钙板面刮腻子，白色乳胶漆饰面，选用不易产生尘埃、无毒的国标品牌材料。</w:t>
      </w:r>
    </w:p>
    <w:p w:rsidR="00B45EA4" w:rsidRDefault="00EB4174">
      <w:pPr>
        <w:numPr>
          <w:ilvl w:val="0"/>
          <w:numId w:val="4"/>
        </w:numPr>
        <w:tabs>
          <w:tab w:val="left" w:pos="709"/>
        </w:tabs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顶棚面</w:t>
      </w:r>
    </w:p>
    <w:p w:rsidR="00B45EA4" w:rsidRDefault="00EB4174">
      <w:pPr>
        <w:tabs>
          <w:tab w:val="left" w:pos="709"/>
        </w:tabs>
        <w:spacing w:line="500" w:lineRule="exact"/>
        <w:ind w:firstLineChars="200" w:firstLine="480"/>
        <w:rPr>
          <w:sz w:val="24"/>
        </w:rPr>
      </w:pPr>
      <w:r>
        <w:rPr>
          <w:sz w:val="24"/>
        </w:rPr>
        <w:t>顶棚面</w:t>
      </w:r>
      <w:r>
        <w:rPr>
          <w:sz w:val="24"/>
        </w:rPr>
        <w:t>(</w:t>
      </w:r>
      <w:r>
        <w:rPr>
          <w:sz w:val="24"/>
        </w:rPr>
        <w:t>含梁）粘贴</w:t>
      </w:r>
      <w:r>
        <w:rPr>
          <w:sz w:val="24"/>
        </w:rPr>
        <w:t>20mm</w:t>
      </w:r>
      <w:r>
        <w:rPr>
          <w:sz w:val="24"/>
        </w:rPr>
        <w:t>厚隔热保温层，要求保温层选用单面银白色阻燃材料。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保温、防尘、防火、防水处理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为了满足电子设备对空气含尘量要求的特点，要求机房装饰材料需满足防尘、不起尘的要求，地面需做洁净防尘处理，保持机房内部洁净。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为了防火的要求，除主材选择</w:t>
      </w:r>
      <w:proofErr w:type="gramStart"/>
      <w:r>
        <w:rPr>
          <w:rFonts w:hint="eastAsia"/>
          <w:sz w:val="24"/>
        </w:rPr>
        <w:t>非燃性或</w:t>
      </w:r>
      <w:proofErr w:type="gramEnd"/>
      <w:r>
        <w:rPr>
          <w:rFonts w:hint="eastAsia"/>
          <w:sz w:val="24"/>
        </w:rPr>
        <w:t>难燃性材料外，其它材料均选择难燃性材料，所有隐蔽装修部分不使用木作材料。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为保证机房内部不发生漏水现象，一要保证机房不被雨水侵入，机房外窗封堵；二要保证机房空调排水管系统连接牢靠，并有一定坡度。</w:t>
      </w:r>
    </w:p>
    <w:p w:rsidR="00B45EA4" w:rsidRDefault="00B45EA4">
      <w:pPr>
        <w:spacing w:line="500" w:lineRule="exact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布线设计</w:t>
      </w:r>
    </w:p>
    <w:p w:rsidR="00B45EA4" w:rsidRDefault="00B45EA4">
      <w:pPr>
        <w:spacing w:line="500" w:lineRule="exact"/>
        <w:rPr>
          <w:b/>
          <w:bCs/>
          <w:sz w:val="28"/>
        </w:rPr>
      </w:pP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机柜、</w:t>
      </w:r>
      <w:r>
        <w:rPr>
          <w:rFonts w:hint="eastAsia"/>
          <w:sz w:val="24"/>
        </w:rPr>
        <w:t>ODF</w:t>
      </w:r>
      <w:r>
        <w:rPr>
          <w:rFonts w:hint="eastAsia"/>
          <w:sz w:val="24"/>
        </w:rPr>
        <w:t>架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机房建设分两期建设，因机房层高受限，机房一期建设规划配置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1.8m</w:t>
      </w:r>
      <w:r>
        <w:rPr>
          <w:rFonts w:hint="eastAsia"/>
          <w:sz w:val="24"/>
        </w:rPr>
        <w:t>高传输机柜，机柜规格</w:t>
      </w:r>
      <w:r>
        <w:rPr>
          <w:sz w:val="24"/>
        </w:rPr>
        <w:t>600*</w:t>
      </w:r>
      <w:r>
        <w:rPr>
          <w:rFonts w:hint="eastAsia"/>
          <w:sz w:val="24"/>
        </w:rPr>
        <w:t>10</w:t>
      </w:r>
      <w:r>
        <w:rPr>
          <w:sz w:val="24"/>
        </w:rPr>
        <w:t>00*</w:t>
      </w:r>
      <w:r>
        <w:rPr>
          <w:rFonts w:hint="eastAsia"/>
          <w:sz w:val="24"/>
        </w:rPr>
        <w:t>18</w:t>
      </w:r>
      <w:r>
        <w:rPr>
          <w:sz w:val="24"/>
        </w:rPr>
        <w:t>00</w:t>
      </w:r>
      <w:r>
        <w:rPr>
          <w:rFonts w:hint="eastAsia"/>
          <w:sz w:val="24"/>
        </w:rPr>
        <w:t xml:space="preserve"> mm</w:t>
      </w:r>
      <w:r>
        <w:rPr>
          <w:rFonts w:hint="eastAsia"/>
          <w:sz w:val="24"/>
        </w:rPr>
        <w:t>。机柜内配置两路</w:t>
      </w:r>
      <w:r>
        <w:rPr>
          <w:rFonts w:hint="eastAsia"/>
          <w:sz w:val="24"/>
        </w:rPr>
        <w:t>32A</w:t>
      </w:r>
      <w:r>
        <w:rPr>
          <w:rFonts w:hint="eastAsia"/>
          <w:sz w:val="24"/>
        </w:rPr>
        <w:t>电源插排，</w:t>
      </w:r>
      <w:r>
        <w:rPr>
          <w:rFonts w:hint="eastAsia"/>
          <w:sz w:val="24"/>
        </w:rPr>
        <w:t>PDU</w:t>
      </w:r>
      <w:r>
        <w:rPr>
          <w:rFonts w:hint="eastAsia"/>
          <w:sz w:val="24"/>
        </w:rPr>
        <w:t>由机柜厂家提供，要求</w:t>
      </w:r>
      <w:r>
        <w:rPr>
          <w:rFonts w:hint="eastAsia"/>
          <w:sz w:val="24"/>
        </w:rPr>
        <w:t>PDU</w:t>
      </w:r>
      <w:r>
        <w:rPr>
          <w:rFonts w:hint="eastAsia"/>
          <w:sz w:val="24"/>
        </w:rPr>
        <w:t>带工业连接器。</w:t>
      </w:r>
    </w:p>
    <w:p w:rsidR="00B45EA4" w:rsidRDefault="00EB4174">
      <w:pPr>
        <w:spacing w:line="500" w:lineRule="exact"/>
        <w:ind w:firstLineChars="200" w:firstLine="480"/>
        <w:rPr>
          <w:color w:val="00B0F0"/>
          <w:sz w:val="24"/>
        </w:rPr>
      </w:pPr>
      <w:r>
        <w:rPr>
          <w:rFonts w:hint="eastAsia"/>
          <w:sz w:val="24"/>
        </w:rPr>
        <w:lastRenderedPageBreak/>
        <w:t>机房一期配置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840*300*2000mm</w:t>
      </w:r>
      <w:r>
        <w:rPr>
          <w:rFonts w:hint="eastAsia"/>
          <w:sz w:val="24"/>
        </w:rPr>
        <w:t>规格</w:t>
      </w:r>
      <w:r>
        <w:rPr>
          <w:rFonts w:hint="eastAsia"/>
          <w:sz w:val="24"/>
        </w:rPr>
        <w:t>ODF</w:t>
      </w:r>
      <w:r>
        <w:rPr>
          <w:rFonts w:hint="eastAsia"/>
          <w:sz w:val="24"/>
        </w:rPr>
        <w:t>架。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走线架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机房采用上走线方式，在机柜和</w:t>
      </w:r>
      <w:r>
        <w:rPr>
          <w:rFonts w:hint="eastAsia"/>
          <w:sz w:val="24"/>
        </w:rPr>
        <w:t>ODF</w:t>
      </w:r>
      <w:r>
        <w:rPr>
          <w:rFonts w:hint="eastAsia"/>
          <w:sz w:val="24"/>
        </w:rPr>
        <w:t>架上方布置三层走线架，第一层为光纤槽道，采用工程塑料制作，作为尾</w:t>
      </w:r>
      <w:proofErr w:type="gramStart"/>
      <w:r>
        <w:rPr>
          <w:rFonts w:hint="eastAsia"/>
          <w:sz w:val="24"/>
        </w:rPr>
        <w:t>纤</w:t>
      </w:r>
      <w:proofErr w:type="gramEnd"/>
      <w:r>
        <w:rPr>
          <w:rFonts w:hint="eastAsia"/>
          <w:sz w:val="24"/>
        </w:rPr>
        <w:t>铺设专用；第二层为弱电走线架，采用</w:t>
      </w:r>
      <w:r>
        <w:rPr>
          <w:rFonts w:hint="eastAsia"/>
          <w:sz w:val="24"/>
        </w:rPr>
        <w:t>400*50mm</w:t>
      </w:r>
      <w:r>
        <w:rPr>
          <w:rFonts w:hint="eastAsia"/>
          <w:sz w:val="24"/>
        </w:rPr>
        <w:t>网格桥架；第三层为强电走线架，采用</w:t>
      </w:r>
      <w:r>
        <w:rPr>
          <w:rFonts w:hint="eastAsia"/>
          <w:sz w:val="24"/>
        </w:rPr>
        <w:t>400*50mm</w:t>
      </w:r>
      <w:r>
        <w:rPr>
          <w:rFonts w:hint="eastAsia"/>
          <w:sz w:val="24"/>
        </w:rPr>
        <w:t>网格桥架。在配电柜上方、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主机附近架设垂直走线架；机柜和</w:t>
      </w:r>
      <w:r>
        <w:rPr>
          <w:rFonts w:hint="eastAsia"/>
          <w:sz w:val="24"/>
        </w:rPr>
        <w:t>ODF</w:t>
      </w:r>
      <w:proofErr w:type="gramStart"/>
      <w:r>
        <w:rPr>
          <w:rFonts w:hint="eastAsia"/>
          <w:sz w:val="24"/>
        </w:rPr>
        <w:t>架间连通</w:t>
      </w:r>
      <w:proofErr w:type="gramEnd"/>
      <w:r>
        <w:rPr>
          <w:rFonts w:hint="eastAsia"/>
          <w:sz w:val="24"/>
        </w:rPr>
        <w:t>的桥架在适当的</w:t>
      </w:r>
      <w:proofErr w:type="gramStart"/>
      <w:r>
        <w:rPr>
          <w:rFonts w:hint="eastAsia"/>
          <w:sz w:val="24"/>
        </w:rPr>
        <w:t>位置下拐对接</w:t>
      </w:r>
      <w:proofErr w:type="gramEnd"/>
      <w:r>
        <w:rPr>
          <w:rFonts w:hint="eastAsia"/>
          <w:sz w:val="24"/>
        </w:rPr>
        <w:t>。具体线槽安装布置详见《强电线槽布置图》、《弱电线槽布置图》、《尾纤槽道布置图》。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尾</w:t>
      </w:r>
      <w:proofErr w:type="gramStart"/>
      <w:r>
        <w:rPr>
          <w:rFonts w:hint="eastAsia"/>
          <w:sz w:val="24"/>
        </w:rPr>
        <w:t>纤</w:t>
      </w:r>
      <w:proofErr w:type="gramEnd"/>
      <w:r>
        <w:rPr>
          <w:rFonts w:hint="eastAsia"/>
          <w:sz w:val="24"/>
        </w:rPr>
        <w:t>槽尺寸</w:t>
      </w:r>
      <w:r>
        <w:rPr>
          <w:sz w:val="24"/>
        </w:rPr>
        <w:t>240*1</w:t>
      </w:r>
      <w:r>
        <w:rPr>
          <w:rFonts w:hint="eastAsia"/>
          <w:sz w:val="24"/>
        </w:rPr>
        <w:t>0</w:t>
      </w:r>
      <w:r>
        <w:rPr>
          <w:sz w:val="24"/>
        </w:rPr>
        <w:t>0mm</w:t>
      </w:r>
      <w:r>
        <w:rPr>
          <w:rFonts w:hint="eastAsia"/>
          <w:sz w:val="24"/>
        </w:rPr>
        <w:t>，在机柜、</w:t>
      </w:r>
      <w:r>
        <w:rPr>
          <w:rFonts w:hint="eastAsia"/>
          <w:sz w:val="24"/>
        </w:rPr>
        <w:t>ODF</w:t>
      </w:r>
      <w:r>
        <w:rPr>
          <w:rFonts w:hint="eastAsia"/>
          <w:sz w:val="24"/>
        </w:rPr>
        <w:t>架上方使用配套固定组件安装。所有穿外墙的管线槽和进出线口使用防火泥封堵。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新增</w:t>
      </w:r>
      <w:r>
        <w:rPr>
          <w:rFonts w:hint="eastAsia"/>
          <w:sz w:val="24"/>
        </w:rPr>
        <w:t>200*100mm</w:t>
      </w:r>
      <w:r>
        <w:rPr>
          <w:rFonts w:hint="eastAsia"/>
          <w:sz w:val="24"/>
        </w:rPr>
        <w:t>钢制封闭式金属线槽，从四楼原有线槽处开始对接连接，通过四楼顶板引上至楼顶；楼板开</w:t>
      </w:r>
      <w:r>
        <w:rPr>
          <w:rFonts w:hint="eastAsia"/>
          <w:sz w:val="24"/>
        </w:rPr>
        <w:t>300*250mm</w:t>
      </w:r>
      <w:r>
        <w:rPr>
          <w:rFonts w:hint="eastAsia"/>
          <w:sz w:val="24"/>
        </w:rPr>
        <w:t>孔洞，四周使用加气混凝土砖砌高，外墙面水泥砂浆抹灰，做好防水处理。具体线槽安装布置详见《钢制线槽布置示意图》。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．光纤线路布放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光纤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尾</w:t>
      </w:r>
      <w:proofErr w:type="gramStart"/>
      <w:r>
        <w:rPr>
          <w:rFonts w:hint="eastAsia"/>
          <w:sz w:val="24"/>
        </w:rPr>
        <w:t>纤</w:t>
      </w:r>
      <w:proofErr w:type="gramEnd"/>
      <w:r>
        <w:rPr>
          <w:rFonts w:hint="eastAsia"/>
          <w:sz w:val="24"/>
        </w:rPr>
        <w:t>)</w:t>
      </w:r>
      <w:r>
        <w:rPr>
          <w:rFonts w:hint="eastAsia"/>
          <w:sz w:val="24"/>
        </w:rPr>
        <w:t>在光纤槽道内铺设，同时在每个</w:t>
      </w:r>
      <w:r>
        <w:rPr>
          <w:rFonts w:hint="eastAsia"/>
          <w:sz w:val="24"/>
        </w:rPr>
        <w:t>ODF</w:t>
      </w:r>
      <w:proofErr w:type="gramStart"/>
      <w:r>
        <w:rPr>
          <w:rFonts w:hint="eastAsia"/>
          <w:sz w:val="24"/>
        </w:rPr>
        <w:t>架位置</w:t>
      </w:r>
      <w:proofErr w:type="gramEnd"/>
      <w:r>
        <w:rPr>
          <w:rFonts w:hint="eastAsia"/>
          <w:sz w:val="24"/>
        </w:rPr>
        <w:t>配置大活动出</w:t>
      </w:r>
      <w:proofErr w:type="gramStart"/>
      <w:r>
        <w:rPr>
          <w:rFonts w:hint="eastAsia"/>
          <w:sz w:val="24"/>
        </w:rPr>
        <w:t>纤</w:t>
      </w:r>
      <w:proofErr w:type="gramEnd"/>
      <w:r>
        <w:rPr>
          <w:rFonts w:hint="eastAsia"/>
          <w:sz w:val="24"/>
        </w:rPr>
        <w:t>口，在每个机柜位置配置光纤的活动出</w:t>
      </w:r>
      <w:proofErr w:type="gramStart"/>
      <w:r>
        <w:rPr>
          <w:rFonts w:hint="eastAsia"/>
          <w:sz w:val="24"/>
        </w:rPr>
        <w:t>纤</w:t>
      </w:r>
      <w:proofErr w:type="gramEnd"/>
      <w:r>
        <w:rPr>
          <w:rFonts w:hint="eastAsia"/>
          <w:sz w:val="24"/>
        </w:rPr>
        <w:t>口、</w:t>
      </w:r>
      <w:proofErr w:type="gramStart"/>
      <w:r>
        <w:rPr>
          <w:rFonts w:hint="eastAsia"/>
          <w:sz w:val="24"/>
        </w:rPr>
        <w:t>波纹管等辅件</w:t>
      </w:r>
      <w:proofErr w:type="gramEnd"/>
      <w:r>
        <w:rPr>
          <w:rFonts w:hint="eastAsia"/>
          <w:sz w:val="24"/>
        </w:rPr>
        <w:t>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弱电线路布放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光缆、视音频线、射频线、五类线等弱电布线在弱电走线架上敷设。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．强电线路布放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）市电输入电缆、应急电源电缆均选用阻燃</w:t>
      </w:r>
      <w:r>
        <w:rPr>
          <w:rFonts w:hint="eastAsia"/>
          <w:sz w:val="24"/>
        </w:rPr>
        <w:t>YJV</w:t>
      </w:r>
      <w:r>
        <w:rPr>
          <w:rFonts w:hint="eastAsia"/>
          <w:sz w:val="24"/>
        </w:rPr>
        <w:t>电力电缆，在强电线槽内走线。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主机的输入、输出电缆选用阻燃</w:t>
      </w:r>
      <w:r>
        <w:rPr>
          <w:rFonts w:hint="eastAsia"/>
          <w:sz w:val="24"/>
        </w:rPr>
        <w:t>YJV</w:t>
      </w:r>
      <w:r>
        <w:rPr>
          <w:rFonts w:hint="eastAsia"/>
          <w:sz w:val="24"/>
        </w:rPr>
        <w:t>电力电缆，在强电线槽内走线。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）配电柜至机柜的配电电缆选用阻燃</w:t>
      </w:r>
      <w:r>
        <w:rPr>
          <w:rFonts w:hint="eastAsia"/>
          <w:sz w:val="24"/>
        </w:rPr>
        <w:t>YJV</w:t>
      </w:r>
      <w:r>
        <w:rPr>
          <w:rFonts w:hint="eastAsia"/>
          <w:sz w:val="24"/>
        </w:rPr>
        <w:t>电力电缆，在强电线槽内走线。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）照明、应急照明、空调用电等线路在</w:t>
      </w:r>
      <w:r>
        <w:rPr>
          <w:rFonts w:hint="eastAsia"/>
          <w:sz w:val="24"/>
        </w:rPr>
        <w:t>PVC</w:t>
      </w:r>
      <w:proofErr w:type="gramStart"/>
      <w:r>
        <w:rPr>
          <w:rFonts w:hint="eastAsia"/>
          <w:sz w:val="24"/>
        </w:rPr>
        <w:t>穿线管</w:t>
      </w:r>
      <w:proofErr w:type="gramEnd"/>
      <w:r>
        <w:rPr>
          <w:rFonts w:hint="eastAsia"/>
          <w:sz w:val="24"/>
        </w:rPr>
        <w:t>或墙面</w:t>
      </w:r>
      <w:r>
        <w:rPr>
          <w:rFonts w:hint="eastAsia"/>
          <w:sz w:val="24"/>
        </w:rPr>
        <w:t>PVC20*10</w:t>
      </w:r>
      <w:r>
        <w:rPr>
          <w:rFonts w:hint="eastAsia"/>
          <w:sz w:val="24"/>
        </w:rPr>
        <w:t>线槽内布放。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）所有配电柜内电缆联结均要求采用铜端子或</w:t>
      </w:r>
      <w:proofErr w:type="gramStart"/>
      <w:r>
        <w:rPr>
          <w:rFonts w:hint="eastAsia"/>
          <w:sz w:val="24"/>
        </w:rPr>
        <w:t>铜卡涮锡</w:t>
      </w:r>
      <w:proofErr w:type="gramEnd"/>
      <w:r>
        <w:rPr>
          <w:rFonts w:hint="eastAsia"/>
          <w:sz w:val="24"/>
        </w:rPr>
        <w:t>冷压连接。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．接地线路布放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）各机房接地线电缆选用阻燃</w:t>
      </w:r>
      <w:r>
        <w:rPr>
          <w:rFonts w:hint="eastAsia"/>
          <w:sz w:val="24"/>
        </w:rPr>
        <w:t>BVR</w:t>
      </w:r>
      <w:r>
        <w:rPr>
          <w:rFonts w:hint="eastAsia"/>
          <w:sz w:val="24"/>
        </w:rPr>
        <w:t>（双色）多股软铜线，在强电线槽内布放。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）强、</w:t>
      </w:r>
      <w:proofErr w:type="gramStart"/>
      <w:r>
        <w:rPr>
          <w:rFonts w:hint="eastAsia"/>
          <w:sz w:val="24"/>
        </w:rPr>
        <w:t>弱电走</w:t>
      </w:r>
      <w:proofErr w:type="gramEnd"/>
      <w:r>
        <w:rPr>
          <w:rFonts w:hint="eastAsia"/>
          <w:sz w:val="24"/>
        </w:rPr>
        <w:t>线槽，要求段与段间、段</w:t>
      </w:r>
      <w:proofErr w:type="gramStart"/>
      <w:r>
        <w:rPr>
          <w:rFonts w:hint="eastAsia"/>
          <w:sz w:val="24"/>
        </w:rPr>
        <w:t>与件间</w:t>
      </w:r>
      <w:proofErr w:type="gramEnd"/>
      <w:r>
        <w:rPr>
          <w:rFonts w:hint="eastAsia"/>
          <w:sz w:val="24"/>
        </w:rPr>
        <w:t>、件</w:t>
      </w:r>
      <w:proofErr w:type="gramStart"/>
      <w:r>
        <w:rPr>
          <w:rFonts w:hint="eastAsia"/>
          <w:sz w:val="24"/>
        </w:rPr>
        <w:t>与件间保持整体电</w:t>
      </w:r>
      <w:proofErr w:type="gramEnd"/>
      <w:r>
        <w:rPr>
          <w:rFonts w:hint="eastAsia"/>
          <w:sz w:val="24"/>
        </w:rPr>
        <w:t>连通，可使用</w:t>
      </w:r>
      <w:r>
        <w:rPr>
          <w:rFonts w:hint="eastAsia"/>
          <w:sz w:val="24"/>
        </w:rPr>
        <w:t>BVR</w:t>
      </w:r>
      <w:r>
        <w:rPr>
          <w:sz w:val="24"/>
        </w:rPr>
        <w:t>1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（双色）多股铜导线进行跨接。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）所有金属柜（箱）、灯具、盒、槽（架）均要求可靠接地。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）所有配电柜内接地线的联结均要求采用铜端子或</w:t>
      </w:r>
      <w:proofErr w:type="gramStart"/>
      <w:r>
        <w:rPr>
          <w:rFonts w:hint="eastAsia"/>
          <w:sz w:val="24"/>
        </w:rPr>
        <w:t>铜卡涮锡</w:t>
      </w:r>
      <w:proofErr w:type="gramEnd"/>
      <w:r>
        <w:rPr>
          <w:rFonts w:hint="eastAsia"/>
          <w:sz w:val="24"/>
        </w:rPr>
        <w:t>冷压连接。</w:t>
      </w:r>
    </w:p>
    <w:p w:rsidR="00B45EA4" w:rsidRDefault="00B45EA4">
      <w:pPr>
        <w:spacing w:line="500" w:lineRule="exact"/>
        <w:ind w:firstLineChars="200" w:firstLine="480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电气设计</w:t>
      </w:r>
    </w:p>
    <w:p w:rsidR="00B45EA4" w:rsidRDefault="00B45EA4">
      <w:pPr>
        <w:spacing w:line="500" w:lineRule="exact"/>
        <w:rPr>
          <w:b/>
          <w:bCs/>
          <w:sz w:val="24"/>
        </w:rPr>
      </w:pPr>
    </w:p>
    <w:p w:rsidR="00B45EA4" w:rsidRDefault="00EB4174">
      <w:pPr>
        <w:tabs>
          <w:tab w:val="left" w:pos="180"/>
        </w:tabs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．供电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泉州分公司</w:t>
      </w:r>
      <w:proofErr w:type="gramStart"/>
      <w:r>
        <w:rPr>
          <w:rFonts w:hint="eastAsia"/>
        </w:rPr>
        <w:t>洛</w:t>
      </w:r>
      <w:proofErr w:type="gramEnd"/>
      <w:r>
        <w:rPr>
          <w:rFonts w:hint="eastAsia"/>
        </w:rPr>
        <w:t>江马甲中心机房为二级负荷供电单位，供电系统应使用应急发电机，机房动力电源使用独立电缆从大楼低压配电房引出。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机房所采用的配电系统为</w:t>
      </w:r>
      <w:r>
        <w:rPr>
          <w:rFonts w:hint="eastAsia"/>
        </w:rPr>
        <w:t>TN-S</w:t>
      </w:r>
      <w:r>
        <w:rPr>
          <w:rFonts w:hint="eastAsia"/>
        </w:rPr>
        <w:t>的三相五线制、单相三线制，其三相额定电压为</w:t>
      </w:r>
      <w:r>
        <w:rPr>
          <w:rFonts w:hint="eastAsia"/>
        </w:rPr>
        <w:t>380</w:t>
      </w:r>
      <w:r>
        <w:rPr>
          <w:rFonts w:hint="eastAsia"/>
        </w:rPr>
        <w:t>伏，单相额定电压</w:t>
      </w:r>
      <w:r>
        <w:rPr>
          <w:rFonts w:hint="eastAsia"/>
        </w:rPr>
        <w:t>220</w:t>
      </w:r>
      <w:r>
        <w:rPr>
          <w:rFonts w:hint="eastAsia"/>
        </w:rPr>
        <w:t>伏，供电频率为</w:t>
      </w:r>
      <w:r>
        <w:rPr>
          <w:rFonts w:hint="eastAsia"/>
        </w:rPr>
        <w:t>50H</w:t>
      </w:r>
      <w:r>
        <w:t>z</w:t>
      </w:r>
      <w:r>
        <w:rPr>
          <w:rFonts w:hint="eastAsia"/>
        </w:rPr>
        <w:t>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动力配电柜设</w:t>
      </w:r>
      <w:r>
        <w:rPr>
          <w:rFonts w:hint="eastAsia"/>
        </w:rPr>
        <w:t>2</w:t>
      </w:r>
      <w:r>
        <w:rPr>
          <w:rFonts w:hint="eastAsia"/>
        </w:rPr>
        <w:t>路输入电源，一路为配电房市电输出，另一路为应急电源；市电主要对本机房的</w:t>
      </w:r>
      <w:r>
        <w:rPr>
          <w:rFonts w:hint="eastAsia"/>
        </w:rPr>
        <w:t>UPS</w:t>
      </w:r>
      <w:r>
        <w:rPr>
          <w:rFonts w:hint="eastAsia"/>
        </w:rPr>
        <w:t>主机和照明、应急照明、辅助插座、空调供电，线路使用</w:t>
      </w:r>
      <w:r>
        <w:rPr>
          <w:rFonts w:hint="eastAsia"/>
        </w:rPr>
        <w:t>YJV</w:t>
      </w:r>
      <w:r>
        <w:rPr>
          <w:rFonts w:hint="eastAsia"/>
        </w:rPr>
        <w:t>铜芯电缆沿强电线槽敷设。</w:t>
      </w:r>
    </w:p>
    <w:p w:rsidR="00B45EA4" w:rsidRDefault="00EB4174">
      <w:pPr>
        <w:tabs>
          <w:tab w:val="left" w:pos="180"/>
        </w:tabs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设备配电柜供电由机房内的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主机使用阻燃</w:t>
      </w:r>
      <w:r>
        <w:rPr>
          <w:rFonts w:hint="eastAsia"/>
          <w:sz w:val="24"/>
        </w:rPr>
        <w:t>YJV</w:t>
      </w:r>
      <w:r>
        <w:rPr>
          <w:rFonts w:hint="eastAsia"/>
          <w:sz w:val="24"/>
        </w:rPr>
        <w:t>铜芯电缆引入，并设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维修旁路，设备配电柜主要为机柜供电，每个机柜引入两路单相电源供电。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配电柜内部配置配电详见《动力配电系统图》、《设备配电系统图》。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2</w:t>
      </w:r>
      <w:r>
        <w:rPr>
          <w:rFonts w:hint="eastAsia"/>
        </w:rPr>
        <w:t>．用电容量：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）机柜用电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机房规划安装</w:t>
      </w:r>
      <w:r>
        <w:rPr>
          <w:rFonts w:hint="eastAsia"/>
        </w:rPr>
        <w:t>30</w:t>
      </w:r>
      <w:r>
        <w:rPr>
          <w:rFonts w:hint="eastAsia"/>
        </w:rPr>
        <w:t>台传输机柜，一期建设安装</w:t>
      </w:r>
      <w:r>
        <w:rPr>
          <w:rFonts w:hint="eastAsia"/>
        </w:rPr>
        <w:t>15</w:t>
      </w:r>
      <w:r>
        <w:rPr>
          <w:rFonts w:hint="eastAsia"/>
        </w:rPr>
        <w:t>台传输机柜，机柜按每台平均耗电</w:t>
      </w:r>
      <w:r>
        <w:t>1</w:t>
      </w:r>
      <w:r>
        <w:rPr>
          <w:rFonts w:hint="eastAsia"/>
        </w:rPr>
        <w:t>.0kW</w:t>
      </w:r>
      <w:r>
        <w:rPr>
          <w:rFonts w:hint="eastAsia"/>
        </w:rPr>
        <w:t>规划，用电容量</w:t>
      </w:r>
      <w:r>
        <w:rPr>
          <w:rFonts w:hint="eastAsia"/>
        </w:rPr>
        <w:t>15*1.0kW+15*1.0kW=30kW</w:t>
      </w:r>
      <w:r>
        <w:rPr>
          <w:rFonts w:hint="eastAsia"/>
        </w:rPr>
        <w:t>，共需</w:t>
      </w:r>
      <w:r>
        <w:rPr>
          <w:rFonts w:hint="eastAsia"/>
        </w:rPr>
        <w:t>30kW</w:t>
      </w:r>
      <w:r>
        <w:rPr>
          <w:rFonts w:hint="eastAsia"/>
        </w:rPr>
        <w:t>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UPS</w:t>
      </w:r>
      <w:r>
        <w:rPr>
          <w:rFonts w:hint="eastAsia"/>
        </w:rPr>
        <w:t>损耗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按照机柜设备用电容量，一期建设配置两台</w:t>
      </w:r>
      <w:r>
        <w:rPr>
          <w:rFonts w:hint="eastAsia"/>
        </w:rPr>
        <w:t>20KVA</w:t>
      </w:r>
      <w:r>
        <w:rPr>
          <w:rFonts w:hint="eastAsia"/>
        </w:rPr>
        <w:t>的</w:t>
      </w:r>
      <w:r>
        <w:rPr>
          <w:rFonts w:hint="eastAsia"/>
        </w:rPr>
        <w:t>UPS</w:t>
      </w:r>
      <w:proofErr w:type="gramStart"/>
      <w:r>
        <w:rPr>
          <w:rFonts w:hint="eastAsia"/>
        </w:rPr>
        <w:t>双柜双</w:t>
      </w:r>
      <w:proofErr w:type="gramEnd"/>
      <w:r>
        <w:rPr>
          <w:rFonts w:hint="eastAsia"/>
        </w:rPr>
        <w:t>路运行，</w:t>
      </w:r>
      <w:r>
        <w:rPr>
          <w:rFonts w:hint="eastAsia"/>
        </w:rPr>
        <w:lastRenderedPageBreak/>
        <w:t>UPS</w:t>
      </w:r>
      <w:r>
        <w:rPr>
          <w:rFonts w:hint="eastAsia"/>
        </w:rPr>
        <w:t>最大可带载</w:t>
      </w:r>
      <w:r>
        <w:rPr>
          <w:rFonts w:hint="eastAsia"/>
        </w:rPr>
        <w:t>18KW</w:t>
      </w:r>
      <w:r>
        <w:rPr>
          <w:rFonts w:hint="eastAsia"/>
        </w:rPr>
        <w:t>，按</w:t>
      </w:r>
      <w:r>
        <w:rPr>
          <w:rFonts w:hint="eastAsia"/>
        </w:rPr>
        <w:t>UPS</w:t>
      </w:r>
      <w:r>
        <w:rPr>
          <w:rFonts w:hint="eastAsia"/>
        </w:rPr>
        <w:t>转换效率</w:t>
      </w:r>
      <w:r>
        <w:rPr>
          <w:rFonts w:hint="eastAsia"/>
        </w:rPr>
        <w:t>0.95</w:t>
      </w:r>
      <w:r>
        <w:rPr>
          <w:rFonts w:hint="eastAsia"/>
        </w:rPr>
        <w:t>计算，则</w:t>
      </w:r>
      <w:r>
        <w:rPr>
          <w:rFonts w:hint="eastAsia"/>
        </w:rPr>
        <w:t>UPS</w:t>
      </w:r>
      <w:r>
        <w:rPr>
          <w:rFonts w:hint="eastAsia"/>
        </w:rPr>
        <w:t>主机本身消耗功率</w:t>
      </w:r>
      <w:r>
        <w:rPr>
          <w:rFonts w:hint="eastAsia"/>
        </w:rPr>
        <w:t>18kW*(1-0.95)=0.9kW</w:t>
      </w:r>
      <w:r>
        <w:rPr>
          <w:rFonts w:hint="eastAsia"/>
        </w:rPr>
        <w:t>。二期建设需将</w:t>
      </w:r>
      <w:r>
        <w:rPr>
          <w:rFonts w:hint="eastAsia"/>
        </w:rPr>
        <w:t>20KVAUPS</w:t>
      </w:r>
      <w:r>
        <w:rPr>
          <w:rFonts w:hint="eastAsia"/>
        </w:rPr>
        <w:t>更换为</w:t>
      </w:r>
      <w:r>
        <w:rPr>
          <w:rFonts w:hint="eastAsia"/>
        </w:rPr>
        <w:t>40KVAUPS</w:t>
      </w:r>
      <w:r>
        <w:rPr>
          <w:rFonts w:hint="eastAsia"/>
        </w:rPr>
        <w:t>以满足设备机柜用电量需求。单台</w:t>
      </w:r>
      <w:r>
        <w:rPr>
          <w:rFonts w:hint="eastAsia"/>
        </w:rPr>
        <w:t>UPS</w:t>
      </w:r>
      <w:r>
        <w:rPr>
          <w:rFonts w:hint="eastAsia"/>
        </w:rPr>
        <w:t>电池充电电流按</w:t>
      </w:r>
      <w:r>
        <w:rPr>
          <w:rFonts w:hint="eastAsia"/>
        </w:rPr>
        <w:t>0.1</w:t>
      </w:r>
      <w:r>
        <w:t>C</w:t>
      </w:r>
      <w:r>
        <w:t>计算，则充电功率为</w:t>
      </w:r>
      <w:r>
        <w:t>0.1*100*</w:t>
      </w:r>
      <w:r>
        <w:rPr>
          <w:rFonts w:hint="eastAsia"/>
        </w:rPr>
        <w:t>240</w:t>
      </w:r>
      <w:r>
        <w:t>=</w:t>
      </w:r>
      <w:r>
        <w:rPr>
          <w:rFonts w:hint="eastAsia"/>
        </w:rPr>
        <w:t>2400</w:t>
      </w:r>
      <w:r>
        <w:t>W</w:t>
      </w:r>
      <w:r>
        <w:t>，</w:t>
      </w:r>
      <w:r>
        <w:rPr>
          <w:rFonts w:hint="eastAsia"/>
        </w:rPr>
        <w:t>则</w:t>
      </w:r>
      <w:r>
        <w:rPr>
          <w:rFonts w:hint="eastAsia"/>
        </w:rPr>
        <w:t>2</w:t>
      </w:r>
      <w:r>
        <w:rPr>
          <w:rFonts w:hint="eastAsia"/>
        </w:rPr>
        <w:t>台</w:t>
      </w:r>
      <w:r>
        <w:rPr>
          <w:rFonts w:hint="eastAsia"/>
        </w:rPr>
        <w:t>20KVAUPS</w:t>
      </w:r>
      <w:r>
        <w:rPr>
          <w:rFonts w:hint="eastAsia"/>
        </w:rPr>
        <w:t>充电功率约为</w:t>
      </w:r>
      <w:r>
        <w:rPr>
          <w:rFonts w:hint="eastAsia"/>
        </w:rPr>
        <w:t>4.8</w:t>
      </w:r>
      <w:r>
        <w:t>kW</w:t>
      </w:r>
      <w:r>
        <w:t>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）空调用电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根据机房用电功率所产生的热负载，机房需配置</w:t>
      </w:r>
      <w:r>
        <w:rPr>
          <w:rFonts w:hint="eastAsia"/>
        </w:rPr>
        <w:t>4</w:t>
      </w:r>
      <w:r>
        <w:rPr>
          <w:rFonts w:hint="eastAsia"/>
        </w:rPr>
        <w:t>台</w:t>
      </w:r>
      <w:r>
        <w:rPr>
          <w:rFonts w:hint="eastAsia"/>
        </w:rPr>
        <w:t>5P</w:t>
      </w:r>
      <w:r>
        <w:rPr>
          <w:rFonts w:hint="eastAsia"/>
        </w:rPr>
        <w:t>机房专用柜式空调，一期配置</w:t>
      </w:r>
      <w:r>
        <w:rPr>
          <w:rFonts w:hint="eastAsia"/>
        </w:rPr>
        <w:t>2</w:t>
      </w:r>
      <w:r>
        <w:rPr>
          <w:rFonts w:hint="eastAsia"/>
        </w:rPr>
        <w:t>台</w:t>
      </w:r>
      <w:r>
        <w:rPr>
          <w:rFonts w:hint="eastAsia"/>
        </w:rPr>
        <w:t>5P</w:t>
      </w:r>
      <w:r>
        <w:rPr>
          <w:rFonts w:hint="eastAsia"/>
        </w:rPr>
        <w:t>机房专用柜式空调，单台</w:t>
      </w:r>
      <w:r>
        <w:rPr>
          <w:rFonts w:hint="eastAsia"/>
        </w:rPr>
        <w:t>5P</w:t>
      </w:r>
      <w:r>
        <w:rPr>
          <w:rFonts w:hint="eastAsia"/>
        </w:rPr>
        <w:t>空调用电量按</w:t>
      </w:r>
      <w:r>
        <w:rPr>
          <w:rFonts w:hint="eastAsia"/>
        </w:rPr>
        <w:t>4.0kW</w:t>
      </w:r>
      <w:r>
        <w:rPr>
          <w:rFonts w:hint="eastAsia"/>
        </w:rPr>
        <w:t>计算，则空调用电功率</w:t>
      </w:r>
      <w:r>
        <w:rPr>
          <w:rFonts w:hint="eastAsia"/>
        </w:rPr>
        <w:t>4.0kW *2+4.0kW *2=16.0kW</w:t>
      </w:r>
      <w:r>
        <w:rPr>
          <w:rFonts w:hint="eastAsia"/>
        </w:rPr>
        <w:t>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）照明及插座用电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根据机房照明灯具布置数量</w:t>
      </w:r>
      <w:r>
        <w:rPr>
          <w:rFonts w:hint="eastAsia"/>
        </w:rPr>
        <w:t>2*18W*15=540W</w:t>
      </w:r>
      <w:r>
        <w:rPr>
          <w:rFonts w:hint="eastAsia"/>
        </w:rPr>
        <w:t>≈</w:t>
      </w:r>
      <w:r>
        <w:rPr>
          <w:rFonts w:hint="eastAsia"/>
        </w:rPr>
        <w:t>0.6kW</w:t>
      </w:r>
      <w:r>
        <w:rPr>
          <w:rFonts w:hint="eastAsia"/>
        </w:rPr>
        <w:t>，应急照明用电按</w:t>
      </w:r>
      <w:r>
        <w:rPr>
          <w:rFonts w:hint="eastAsia"/>
        </w:rPr>
        <w:t>0.1kW</w:t>
      </w:r>
      <w:r>
        <w:rPr>
          <w:rFonts w:hint="eastAsia"/>
        </w:rPr>
        <w:t>计，共计</w:t>
      </w:r>
      <w:r>
        <w:rPr>
          <w:rFonts w:hint="eastAsia"/>
        </w:rPr>
        <w:t>0.7kW</w:t>
      </w:r>
      <w:r>
        <w:rPr>
          <w:rFonts w:hint="eastAsia"/>
        </w:rPr>
        <w:t>。</w:t>
      </w:r>
    </w:p>
    <w:p w:rsidR="00B45EA4" w:rsidRDefault="00EB4174">
      <w:pPr>
        <w:pStyle w:val="a4"/>
        <w:numPr>
          <w:ilvl w:val="0"/>
          <w:numId w:val="5"/>
        </w:numPr>
        <w:spacing w:line="500" w:lineRule="exact"/>
      </w:pPr>
      <w:r>
        <w:rPr>
          <w:rFonts w:hint="eastAsia"/>
        </w:rPr>
        <w:t>直流开关电源用电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机房内设置</w:t>
      </w:r>
      <w:r>
        <w:rPr>
          <w:rFonts w:hint="eastAsia"/>
        </w:rPr>
        <w:t>1</w:t>
      </w:r>
      <w:r>
        <w:rPr>
          <w:rFonts w:hint="eastAsia"/>
        </w:rPr>
        <w:t>台开关电源，用电功率按</w:t>
      </w:r>
      <w:r>
        <w:rPr>
          <w:rFonts w:hint="eastAsia"/>
        </w:rPr>
        <w:t>4.8kW</w:t>
      </w:r>
      <w:r>
        <w:rPr>
          <w:rFonts w:hint="eastAsia"/>
        </w:rPr>
        <w:t>计。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机房一期用电容量：</w:t>
      </w:r>
      <w:r>
        <w:rPr>
          <w:rFonts w:hint="eastAsia"/>
        </w:rPr>
        <w:t>18kW+0.9kW+4.8kW+8.0kW+0.7kW+4.8kW=37.2kW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机房总用电容量：</w:t>
      </w:r>
      <w:r>
        <w:rPr>
          <w:rFonts w:hint="eastAsia"/>
        </w:rPr>
        <w:t>40kW+2kW+7.68kW+16.0kW+0.7kW+4.8kW=71.18kW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3. UPS</w:t>
      </w:r>
      <w:r>
        <w:rPr>
          <w:rFonts w:hint="eastAsia"/>
        </w:rPr>
        <w:t>延迟工作时间及电池数量配置：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根据集团对</w:t>
      </w:r>
      <w:r>
        <w:rPr>
          <w:rFonts w:hint="eastAsia"/>
        </w:rPr>
        <w:t>UPS</w:t>
      </w:r>
      <w:r>
        <w:rPr>
          <w:rFonts w:hint="eastAsia"/>
        </w:rPr>
        <w:t>延迟工作时间的指导意见，建议电池满载后备时间为</w:t>
      </w:r>
      <w:r>
        <w:rPr>
          <w:rFonts w:hint="eastAsia"/>
        </w:rPr>
        <w:t>1.8</w:t>
      </w:r>
      <w:r>
        <w:rPr>
          <w:rFonts w:hint="eastAsia"/>
        </w:rPr>
        <w:t>小时。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按机房设备用电功率</w:t>
      </w:r>
      <w:r>
        <w:rPr>
          <w:rFonts w:hint="eastAsia"/>
        </w:rPr>
        <w:t>20KVA</w:t>
      </w:r>
      <w:r>
        <w:rPr>
          <w:rFonts w:hint="eastAsia"/>
        </w:rPr>
        <w:t>计算，设</w:t>
      </w:r>
      <w:r>
        <w:rPr>
          <w:rFonts w:hint="eastAsia"/>
        </w:rPr>
        <w:t>UPS</w:t>
      </w:r>
      <w:r>
        <w:rPr>
          <w:rFonts w:hint="eastAsia"/>
        </w:rPr>
        <w:t>直流工作电压</w:t>
      </w:r>
      <w:r>
        <w:rPr>
          <w:rFonts w:hint="eastAsia"/>
        </w:rPr>
        <w:t>12V</w:t>
      </w:r>
      <w:r>
        <w:rPr>
          <w:rFonts w:hint="eastAsia"/>
        </w:rPr>
        <w:t>×</w:t>
      </w:r>
      <w:r>
        <w:rPr>
          <w:rFonts w:hint="eastAsia"/>
        </w:rPr>
        <w:t>20</w:t>
      </w:r>
      <w:r>
        <w:rPr>
          <w:rFonts w:hint="eastAsia"/>
        </w:rPr>
        <w:t>节</w:t>
      </w:r>
      <w:r>
        <w:rPr>
          <w:rFonts w:hint="eastAsia"/>
        </w:rPr>
        <w:t>=240V</w:t>
      </w:r>
      <w:r>
        <w:rPr>
          <w:rFonts w:hint="eastAsia"/>
        </w:rPr>
        <w:t>，则直流工作电流</w:t>
      </w:r>
      <w:r>
        <w:rPr>
          <w:rFonts w:hint="eastAsia"/>
        </w:rPr>
        <w:t>20000VA</w:t>
      </w:r>
      <w:r>
        <w:rPr>
          <w:rFonts w:hint="eastAsia"/>
        </w:rPr>
        <w:t>÷</w:t>
      </w:r>
      <w:r>
        <w:rPr>
          <w:rFonts w:hint="eastAsia"/>
        </w:rPr>
        <w:t>240V=83.33A</w:t>
      </w:r>
      <w:r>
        <w:rPr>
          <w:rFonts w:hint="eastAsia"/>
        </w:rPr>
        <w:t>，实际电池容量</w:t>
      </w:r>
      <w:r>
        <w:rPr>
          <w:rFonts w:hint="eastAsia"/>
        </w:rPr>
        <w:t>C</w:t>
      </w:r>
      <w:r>
        <w:rPr>
          <w:rFonts w:hint="eastAsia"/>
        </w:rPr>
        <w:t>：</w:t>
      </w:r>
      <w:r>
        <w:rPr>
          <w:rFonts w:hint="eastAsia"/>
        </w:rPr>
        <w:t>C=I</w:t>
      </w:r>
      <w:r>
        <w:rPr>
          <w:rFonts w:hint="eastAsia"/>
        </w:rPr>
        <w:t>×</w:t>
      </w:r>
      <w:r>
        <w:rPr>
          <w:rFonts w:hint="eastAsia"/>
        </w:rPr>
        <w:t>T</w:t>
      </w:r>
      <w:r>
        <w:rPr>
          <w:rFonts w:hint="eastAsia"/>
        </w:rPr>
        <w:t>÷</w:t>
      </w:r>
      <w:proofErr w:type="spellStart"/>
      <w:r>
        <w:rPr>
          <w:rFonts w:hint="eastAsia"/>
        </w:rPr>
        <w:t>Kh</w:t>
      </w:r>
      <w:proofErr w:type="spellEnd"/>
      <w:r>
        <w:rPr>
          <w:rFonts w:hint="eastAsia"/>
        </w:rPr>
        <w:t xml:space="preserve"> =83.33A</w:t>
      </w:r>
      <w:r>
        <w:rPr>
          <w:rFonts w:hint="eastAsia"/>
        </w:rPr>
        <w:t>×</w:t>
      </w:r>
      <w:r>
        <w:rPr>
          <w:rFonts w:hint="eastAsia"/>
        </w:rPr>
        <w:t>1.8H</w:t>
      </w:r>
      <w:r>
        <w:rPr>
          <w:rFonts w:hint="eastAsia"/>
        </w:rPr>
        <w:t>÷</w:t>
      </w:r>
      <w:r>
        <w:rPr>
          <w:rFonts w:hint="eastAsia"/>
        </w:rPr>
        <w:t>0.75=200AH</w:t>
      </w:r>
      <w:r>
        <w:rPr>
          <w:rFonts w:hint="eastAsia"/>
        </w:rPr>
        <w:t>，则：每台</w:t>
      </w:r>
      <w:r>
        <w:rPr>
          <w:rFonts w:hint="eastAsia"/>
        </w:rPr>
        <w:t>UPS</w:t>
      </w:r>
      <w:r>
        <w:rPr>
          <w:rFonts w:hint="eastAsia"/>
        </w:rPr>
        <w:t>主机各配置</w:t>
      </w:r>
      <w:r>
        <w:rPr>
          <w:rFonts w:hint="eastAsia"/>
        </w:rPr>
        <w:t>100AH</w:t>
      </w:r>
      <w:r>
        <w:rPr>
          <w:rFonts w:hint="eastAsia"/>
        </w:rPr>
        <w:t>电池</w:t>
      </w:r>
      <w:r>
        <w:rPr>
          <w:rFonts w:hint="eastAsia"/>
        </w:rPr>
        <w:t>40</w:t>
      </w:r>
      <w:r>
        <w:rPr>
          <w:rFonts w:hint="eastAsia"/>
        </w:rPr>
        <w:t>节，共需</w:t>
      </w:r>
      <w:r>
        <w:rPr>
          <w:rFonts w:hint="eastAsia"/>
        </w:rPr>
        <w:t>80</w:t>
      </w:r>
      <w:r>
        <w:rPr>
          <w:rFonts w:hint="eastAsia"/>
        </w:rPr>
        <w:t>节电池。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(</w:t>
      </w:r>
      <w:r>
        <w:rPr>
          <w:rFonts w:hint="eastAsia"/>
        </w:rPr>
        <w:t>备注：</w:t>
      </w:r>
      <w:proofErr w:type="spellStart"/>
      <w:r>
        <w:rPr>
          <w:rFonts w:hint="eastAsia"/>
        </w:rPr>
        <w:t>Kh</w:t>
      </w:r>
      <w:proofErr w:type="spellEnd"/>
      <w:r>
        <w:rPr>
          <w:rFonts w:hint="eastAsia"/>
        </w:rPr>
        <w:t>为电池容量换算系数</w:t>
      </w:r>
      <w:r>
        <w:rPr>
          <w:rFonts w:hint="eastAsia"/>
        </w:rPr>
        <w:t>(Ct/C10)</w:t>
      </w:r>
      <w:r>
        <w:rPr>
          <w:rFonts w:hint="eastAsia"/>
        </w:rPr>
        <w:t>，</w:t>
      </w:r>
      <w:r>
        <w:rPr>
          <w:rFonts w:hint="eastAsia"/>
        </w:rPr>
        <w:t xml:space="preserve"> 3-5</w:t>
      </w:r>
      <w:r>
        <w:rPr>
          <w:rFonts w:hint="eastAsia"/>
        </w:rPr>
        <w:t>小时放电率</w:t>
      </w:r>
      <w:r>
        <w:rPr>
          <w:rFonts w:hint="eastAsia"/>
        </w:rPr>
        <w:t>0.9</w:t>
      </w:r>
      <w:r>
        <w:rPr>
          <w:rFonts w:hint="eastAsia"/>
        </w:rPr>
        <w:t>，</w:t>
      </w:r>
      <w:r>
        <w:rPr>
          <w:rFonts w:hint="eastAsia"/>
        </w:rPr>
        <w:t>1-3</w:t>
      </w:r>
      <w:r>
        <w:rPr>
          <w:rFonts w:hint="eastAsia"/>
        </w:rPr>
        <w:t>小时放电率为</w:t>
      </w:r>
      <w:r>
        <w:rPr>
          <w:rFonts w:hint="eastAsia"/>
        </w:rPr>
        <w:t>0.75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小时以下放电率为</w:t>
      </w:r>
      <w:r>
        <w:rPr>
          <w:rFonts w:hint="eastAsia"/>
        </w:rPr>
        <w:t>0.6</w:t>
      </w:r>
      <w:r>
        <w:t>2</w:t>
      </w:r>
      <w:r>
        <w:rPr>
          <w:rFonts w:hint="eastAsia"/>
        </w:rPr>
        <w:t>。</w:t>
      </w:r>
      <w:r>
        <w:rPr>
          <w:rFonts w:hint="eastAsia"/>
        </w:rPr>
        <w:t>)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4</w:t>
      </w:r>
      <w:r>
        <w:rPr>
          <w:rFonts w:hint="eastAsia"/>
        </w:rPr>
        <w:t>．配电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动力配电柜的各相负荷须均衡配置，其均衡度应符合不小于</w:t>
      </w:r>
      <w:r>
        <w:rPr>
          <w:rFonts w:hint="eastAsia"/>
        </w:rPr>
        <w:t>80%</w:t>
      </w:r>
      <w:r>
        <w:rPr>
          <w:rFonts w:hint="eastAsia"/>
        </w:rPr>
        <w:t>的技术要求。</w:t>
      </w:r>
    </w:p>
    <w:p w:rsidR="00B45EA4" w:rsidRDefault="00EB4174">
      <w:pPr>
        <w:pStyle w:val="a4"/>
        <w:spacing w:line="500" w:lineRule="exact"/>
      </w:pPr>
      <w:r>
        <w:rPr>
          <w:rFonts w:hint="eastAsia"/>
        </w:rPr>
        <w:t>对机房动力配电柜、设备配电柜及接口箱技术要求如下：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rFonts w:hint="eastAsia"/>
          <w:sz w:val="24"/>
        </w:rPr>
        <w:t>）配电柜均选用有电力生产牌照、有产品出厂检测合格证的正规厂家产品。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）配电柜、接口箱内空气断路器均选用</w:t>
      </w:r>
      <w:r>
        <w:rPr>
          <w:rFonts w:hint="eastAsia"/>
          <w:sz w:val="24"/>
        </w:rPr>
        <w:t>ABB/</w:t>
      </w:r>
      <w:r>
        <w:rPr>
          <w:rFonts w:hint="eastAsia"/>
          <w:sz w:val="24"/>
        </w:rPr>
        <w:t>施耐德品牌。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）配电柜配置</w:t>
      </w:r>
      <w:r>
        <w:rPr>
          <w:rFonts w:hint="eastAsia"/>
          <w:sz w:val="24"/>
        </w:rPr>
        <w:t>3*30</w:t>
      </w:r>
      <w:r>
        <w:rPr>
          <w:rFonts w:hint="eastAsia"/>
          <w:sz w:val="24"/>
        </w:rPr>
        <w:t>紫铜零排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和地排</w:t>
      </w:r>
      <w:r>
        <w:rPr>
          <w:rFonts w:hint="eastAsia"/>
          <w:sz w:val="24"/>
        </w:rPr>
        <w:t>PE</w:t>
      </w:r>
      <w:r>
        <w:rPr>
          <w:rFonts w:hint="eastAsia"/>
          <w:sz w:val="24"/>
        </w:rPr>
        <w:t>，适合于铜接线端子连接。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）配电柜应具有相电压、相电流等基本参数检测的智能数字电量仪，具有监控接口。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）配电柜输入</w:t>
      </w:r>
      <w:proofErr w:type="gramStart"/>
      <w:r>
        <w:rPr>
          <w:rFonts w:hint="eastAsia"/>
          <w:sz w:val="24"/>
        </w:rPr>
        <w:t>端安装施耐</w:t>
      </w:r>
      <w:proofErr w:type="gramEnd"/>
      <w:r>
        <w:rPr>
          <w:rFonts w:hint="eastAsia"/>
          <w:sz w:val="24"/>
        </w:rPr>
        <w:t>德四模块</w:t>
      </w:r>
      <w:r>
        <w:rPr>
          <w:rFonts w:hint="eastAsia"/>
          <w:sz w:val="24"/>
        </w:rPr>
        <w:t>40KA</w:t>
      </w:r>
      <w:r>
        <w:rPr>
          <w:rFonts w:hint="eastAsia"/>
          <w:sz w:val="24"/>
        </w:rPr>
        <w:t>浪</w:t>
      </w:r>
      <w:proofErr w:type="gramStart"/>
      <w:r>
        <w:rPr>
          <w:rFonts w:hint="eastAsia"/>
          <w:sz w:val="24"/>
        </w:rPr>
        <w:t>涌保护</w:t>
      </w:r>
      <w:proofErr w:type="gramEnd"/>
      <w:r>
        <w:rPr>
          <w:rFonts w:hint="eastAsia"/>
          <w:sz w:val="24"/>
        </w:rPr>
        <w:t>模块和后备保护断路器，防止供电线路的感应雷击、瞬态过电压对机柜设备的冲击破坏。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）动力配电柜配置双电源切换开关，切换开关选用施耐德</w:t>
      </w:r>
      <w:r>
        <w:rPr>
          <w:rFonts w:hint="eastAsia"/>
          <w:sz w:val="24"/>
        </w:rPr>
        <w:t>/ABB</w:t>
      </w:r>
      <w:r>
        <w:rPr>
          <w:rFonts w:hint="eastAsia"/>
          <w:sz w:val="24"/>
        </w:rPr>
        <w:t>品牌。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）接口箱配置五孔航空插座，要求与发电车匹配；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）配电柜预留若干备用供电空气开关，以便设备扩容和维护使用。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．照明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根据机房的有关照度要求，以及各机房设备实际布置情况，对机房照明进行合理分布和数量调整。拆除原有照明灯具，原有灯具重新安装，新增部分</w:t>
      </w:r>
      <w:r>
        <w:rPr>
          <w:rFonts w:hint="eastAsia"/>
          <w:sz w:val="24"/>
        </w:rPr>
        <w:t>2*</w:t>
      </w:r>
      <w:r>
        <w:rPr>
          <w:sz w:val="24"/>
        </w:rPr>
        <w:t>18</w:t>
      </w:r>
      <w:r>
        <w:rPr>
          <w:rFonts w:hint="eastAsia"/>
          <w:sz w:val="24"/>
        </w:rPr>
        <w:t>W</w:t>
      </w:r>
      <w:r>
        <w:rPr>
          <w:rFonts w:hint="eastAsia"/>
          <w:sz w:val="24"/>
        </w:rPr>
        <w:t>双管</w:t>
      </w:r>
      <w:r>
        <w:rPr>
          <w:rFonts w:hint="eastAsia"/>
          <w:sz w:val="24"/>
        </w:rPr>
        <w:t>LED</w:t>
      </w:r>
      <w:r>
        <w:rPr>
          <w:rFonts w:hint="eastAsia"/>
          <w:sz w:val="24"/>
        </w:rPr>
        <w:t>灯，吸顶安装，灯管</w:t>
      </w:r>
      <w:proofErr w:type="gramStart"/>
      <w:r>
        <w:rPr>
          <w:rFonts w:hint="eastAsia"/>
          <w:sz w:val="24"/>
        </w:rPr>
        <w:t>选用雷士或</w:t>
      </w:r>
      <w:proofErr w:type="gramEnd"/>
      <w:r>
        <w:rPr>
          <w:rFonts w:hint="eastAsia"/>
          <w:sz w:val="24"/>
        </w:rPr>
        <w:t>欧普高效无眩光</w:t>
      </w:r>
      <w:r>
        <w:rPr>
          <w:rFonts w:hint="eastAsia"/>
          <w:sz w:val="24"/>
        </w:rPr>
        <w:t>T8LED</w:t>
      </w:r>
      <w:r>
        <w:rPr>
          <w:rFonts w:hint="eastAsia"/>
          <w:sz w:val="24"/>
        </w:rPr>
        <w:t>灯管，以防止对机房设备干扰。机房照明布置详见《照明布置图》。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所有灯具安装应均匀分布，即应满足机房照度要求，而且还应保持协调、美观。照明控制开关可选用西门子、</w:t>
      </w:r>
      <w:r>
        <w:rPr>
          <w:rFonts w:hint="eastAsia"/>
          <w:sz w:val="24"/>
        </w:rPr>
        <w:t>TCL</w:t>
      </w:r>
      <w:r>
        <w:rPr>
          <w:rFonts w:hint="eastAsia"/>
          <w:sz w:val="24"/>
        </w:rPr>
        <w:t>等知名品牌的产品，并合理布置于机房入口处墙面上，离地</w:t>
      </w:r>
      <w:r>
        <w:rPr>
          <w:rFonts w:hint="eastAsia"/>
          <w:sz w:val="24"/>
        </w:rPr>
        <w:t>1400</w:t>
      </w:r>
      <w:r>
        <w:rPr>
          <w:sz w:val="24"/>
        </w:rPr>
        <w:t>m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安装。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应急照明使用自带蓄电池的双头</w:t>
      </w:r>
      <w:r>
        <w:rPr>
          <w:rFonts w:hint="eastAsia"/>
          <w:sz w:val="24"/>
        </w:rPr>
        <w:t>LED</w:t>
      </w:r>
      <w:r>
        <w:rPr>
          <w:rFonts w:hint="eastAsia"/>
          <w:sz w:val="24"/>
        </w:rPr>
        <w:t>应急灯，延时时间≥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分钟。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．插座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根据插座用途机房插座可分为二类，一类是设备供电的</w:t>
      </w:r>
      <w:r>
        <w:rPr>
          <w:rFonts w:hint="eastAsia"/>
          <w:sz w:val="24"/>
        </w:rPr>
        <w:t>PDU</w:t>
      </w:r>
      <w:r>
        <w:rPr>
          <w:rFonts w:hint="eastAsia"/>
          <w:sz w:val="24"/>
        </w:rPr>
        <w:t>插座；另一类为墙面安装的应急、辅助插座。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机房内原有辅助插座利旧；应急照明插座一般布置在墙面上，选用西门子、</w:t>
      </w:r>
      <w:r>
        <w:rPr>
          <w:rFonts w:hint="eastAsia"/>
          <w:sz w:val="24"/>
        </w:rPr>
        <w:t>TCL</w:t>
      </w:r>
      <w:r>
        <w:rPr>
          <w:rFonts w:hint="eastAsia"/>
          <w:sz w:val="24"/>
        </w:rPr>
        <w:t>等知名品牌的产品，离地</w:t>
      </w:r>
      <w:r>
        <w:rPr>
          <w:rFonts w:hint="eastAsia"/>
          <w:sz w:val="24"/>
        </w:rPr>
        <w:t>20</w:t>
      </w:r>
      <w:r>
        <w:rPr>
          <w:sz w:val="24"/>
        </w:rPr>
        <w:t>0</w:t>
      </w:r>
      <w:r>
        <w:rPr>
          <w:rFonts w:hint="eastAsia"/>
          <w:sz w:val="24"/>
        </w:rPr>
        <w:t>0</w:t>
      </w:r>
      <w:r>
        <w:rPr>
          <w:sz w:val="24"/>
        </w:rPr>
        <w:t>mm</w:t>
      </w:r>
      <w:r>
        <w:rPr>
          <w:rFonts w:hint="eastAsia"/>
          <w:sz w:val="24"/>
        </w:rPr>
        <w:t>安装；空调电源直接通过铜芯电缆连接至配电柜内空开。机房应急照明插座、辅助插座和空调配电布置情况详见《应急照明布置图》、《辅助插座布置图》和《空调电源布置图》。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．接地</w:t>
      </w:r>
    </w:p>
    <w:p w:rsidR="00B45EA4" w:rsidRDefault="00EB4174">
      <w:pPr>
        <w:spacing w:line="500" w:lineRule="exact"/>
        <w:ind w:firstLineChars="200" w:firstLine="488"/>
        <w:rPr>
          <w:b/>
          <w:bCs/>
          <w:sz w:val="28"/>
        </w:rPr>
      </w:pPr>
      <w:r>
        <w:rPr>
          <w:rFonts w:ascii="宋体" w:hAnsi="宋体" w:cs="宋体" w:hint="eastAsia"/>
          <w:spacing w:val="2"/>
          <w:sz w:val="24"/>
        </w:rPr>
        <w:t>强电线槽上方设</w:t>
      </w:r>
      <w:r>
        <w:rPr>
          <w:rFonts w:hint="eastAsia"/>
          <w:sz w:val="24"/>
        </w:rPr>
        <w:t>3</w:t>
      </w:r>
      <w:r>
        <w:rPr>
          <w:rFonts w:ascii="宋体" w:hAnsi="宋体" w:cs="宋体" w:hint="eastAsia"/>
          <w:spacing w:val="2"/>
          <w:sz w:val="24"/>
        </w:rPr>
        <w:t>*</w:t>
      </w:r>
      <w:r>
        <w:rPr>
          <w:rFonts w:hint="eastAsia"/>
          <w:sz w:val="24"/>
        </w:rPr>
        <w:t>30</w:t>
      </w:r>
      <w:r>
        <w:rPr>
          <w:rFonts w:ascii="宋体" w:hAnsi="宋体" w:cs="宋体" w:hint="eastAsia"/>
          <w:spacing w:val="2"/>
          <w:sz w:val="24"/>
        </w:rPr>
        <w:t>*</w:t>
      </w:r>
      <w:r>
        <w:rPr>
          <w:rFonts w:hint="eastAsia"/>
          <w:sz w:val="24"/>
        </w:rPr>
        <w:t>300</w:t>
      </w:r>
      <w:r>
        <w:rPr>
          <w:rFonts w:ascii="宋体" w:hAnsi="宋体" w:cs="宋体" w:hint="eastAsia"/>
          <w:spacing w:val="2"/>
          <w:sz w:val="24"/>
        </w:rPr>
        <w:t>保护接地汇流铜排和防雷接地汇流铜排，从一</w:t>
      </w:r>
      <w:r>
        <w:rPr>
          <w:rFonts w:ascii="宋体" w:hAnsi="宋体" w:cs="宋体" w:hint="eastAsia"/>
          <w:spacing w:val="2"/>
          <w:sz w:val="24"/>
        </w:rPr>
        <w:lastRenderedPageBreak/>
        <w:t>楼大楼接地</w:t>
      </w:r>
      <w:proofErr w:type="gramStart"/>
      <w:r>
        <w:rPr>
          <w:rFonts w:ascii="宋体" w:hAnsi="宋体" w:cs="宋体" w:hint="eastAsia"/>
          <w:spacing w:val="2"/>
          <w:sz w:val="24"/>
        </w:rPr>
        <w:t>扁铁引</w:t>
      </w:r>
      <w:proofErr w:type="gramEnd"/>
      <w:r>
        <w:rPr>
          <w:rFonts w:hint="eastAsia"/>
          <w:sz w:val="24"/>
        </w:rPr>
        <w:t>ZC-BVR35</w:t>
      </w:r>
      <w:r>
        <w:rPr>
          <w:rFonts w:ascii="宋体" w:hAnsi="宋体" w:cs="宋体" w:hint="eastAsia"/>
          <w:spacing w:val="2"/>
          <w:sz w:val="24"/>
        </w:rPr>
        <w:t>接地线到机房，分别和保护地、防雷地汇流排连接。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机房内部机柜、</w:t>
      </w:r>
      <w:r>
        <w:rPr>
          <w:rFonts w:hint="eastAsia"/>
          <w:sz w:val="24"/>
        </w:rPr>
        <w:t>ODF</w:t>
      </w:r>
      <w:r>
        <w:rPr>
          <w:rFonts w:hint="eastAsia"/>
          <w:sz w:val="24"/>
        </w:rPr>
        <w:t>架、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主机、电池</w:t>
      </w:r>
      <w:proofErr w:type="gramStart"/>
      <w:r>
        <w:rPr>
          <w:rFonts w:hint="eastAsia"/>
          <w:sz w:val="24"/>
        </w:rPr>
        <w:t>柜使用</w:t>
      </w:r>
      <w:proofErr w:type="gramEnd"/>
      <w:r>
        <w:rPr>
          <w:rFonts w:hint="eastAsia"/>
          <w:sz w:val="24"/>
        </w:rPr>
        <w:t>ZC-BVR10</w:t>
      </w:r>
      <w:r>
        <w:rPr>
          <w:rFonts w:hint="eastAsia"/>
          <w:sz w:val="24"/>
        </w:rPr>
        <w:t>多股铜芯线与保护地汇流</w:t>
      </w:r>
      <w:r>
        <w:rPr>
          <w:rFonts w:ascii="宋体" w:hAnsi="宋体" w:cs="宋体" w:hint="eastAsia"/>
          <w:spacing w:val="2"/>
          <w:sz w:val="24"/>
        </w:rPr>
        <w:t>铜排</w:t>
      </w:r>
      <w:r>
        <w:rPr>
          <w:rFonts w:hint="eastAsia"/>
          <w:sz w:val="24"/>
        </w:rPr>
        <w:t>连接，起到保护接地作用；桥架使用</w:t>
      </w:r>
      <w:r>
        <w:rPr>
          <w:rFonts w:hint="eastAsia"/>
          <w:sz w:val="24"/>
        </w:rPr>
        <w:t>ZC- BVR</w:t>
      </w:r>
      <w:proofErr w:type="gramStart"/>
      <w:r>
        <w:rPr>
          <w:rFonts w:hint="eastAsia"/>
          <w:sz w:val="24"/>
        </w:rPr>
        <w:t>16</w:t>
      </w:r>
      <w:r>
        <w:rPr>
          <w:rFonts w:hint="eastAsia"/>
          <w:sz w:val="24"/>
        </w:rPr>
        <w:t>多股</w:t>
      </w:r>
      <w:proofErr w:type="gramEnd"/>
      <w:r>
        <w:rPr>
          <w:rFonts w:hint="eastAsia"/>
          <w:sz w:val="24"/>
        </w:rPr>
        <w:t>铜芯线与保护地汇流</w:t>
      </w:r>
      <w:r>
        <w:rPr>
          <w:rFonts w:ascii="宋体" w:hAnsi="宋体" w:cs="宋体" w:hint="eastAsia"/>
          <w:spacing w:val="2"/>
          <w:sz w:val="24"/>
        </w:rPr>
        <w:t>铜排</w:t>
      </w:r>
      <w:r>
        <w:rPr>
          <w:rFonts w:hint="eastAsia"/>
          <w:sz w:val="24"/>
        </w:rPr>
        <w:t>连接，起到保护接地作用；配电柜内接地</w:t>
      </w:r>
      <w:proofErr w:type="gramStart"/>
      <w:r>
        <w:rPr>
          <w:rFonts w:hint="eastAsia"/>
          <w:sz w:val="24"/>
        </w:rPr>
        <w:t>排使用</w:t>
      </w:r>
      <w:proofErr w:type="gramEnd"/>
      <w:r>
        <w:rPr>
          <w:rFonts w:hint="eastAsia"/>
          <w:sz w:val="24"/>
        </w:rPr>
        <w:t>ZC-BVR</w:t>
      </w:r>
      <w:proofErr w:type="gramStart"/>
      <w:r>
        <w:rPr>
          <w:rFonts w:hint="eastAsia"/>
          <w:sz w:val="24"/>
        </w:rPr>
        <w:t>16</w:t>
      </w:r>
      <w:r>
        <w:rPr>
          <w:rFonts w:hint="eastAsia"/>
          <w:sz w:val="24"/>
        </w:rPr>
        <w:t>多股</w:t>
      </w:r>
      <w:proofErr w:type="gramEnd"/>
      <w:r>
        <w:rPr>
          <w:rFonts w:hint="eastAsia"/>
          <w:sz w:val="24"/>
        </w:rPr>
        <w:t>铜芯线与保护地汇流</w:t>
      </w:r>
      <w:r>
        <w:rPr>
          <w:rFonts w:ascii="宋体" w:hAnsi="宋体" w:cs="宋体" w:hint="eastAsia"/>
          <w:spacing w:val="2"/>
          <w:sz w:val="24"/>
        </w:rPr>
        <w:t>铜排</w:t>
      </w:r>
      <w:r>
        <w:rPr>
          <w:rFonts w:hint="eastAsia"/>
          <w:sz w:val="24"/>
        </w:rPr>
        <w:t>连接，起到重复接地作用。</w:t>
      </w:r>
      <w:r>
        <w:rPr>
          <w:rFonts w:hint="eastAsia"/>
          <w:sz w:val="24"/>
        </w:rPr>
        <w:t>ODF</w:t>
      </w:r>
      <w:r>
        <w:rPr>
          <w:rFonts w:hint="eastAsia"/>
          <w:sz w:val="24"/>
        </w:rPr>
        <w:t>架光缆加强</w:t>
      </w:r>
      <w:proofErr w:type="gramStart"/>
      <w:r>
        <w:rPr>
          <w:rFonts w:hint="eastAsia"/>
          <w:sz w:val="24"/>
        </w:rPr>
        <w:t>芯固定板</w:t>
      </w:r>
      <w:proofErr w:type="gramEnd"/>
      <w:r>
        <w:rPr>
          <w:rFonts w:hint="eastAsia"/>
          <w:sz w:val="24"/>
        </w:rPr>
        <w:t>使用</w:t>
      </w:r>
      <w:r>
        <w:rPr>
          <w:rFonts w:hint="eastAsia"/>
          <w:sz w:val="24"/>
        </w:rPr>
        <w:t>ZC-BVR</w:t>
      </w:r>
      <w:proofErr w:type="gramStart"/>
      <w:r>
        <w:rPr>
          <w:rFonts w:hint="eastAsia"/>
          <w:sz w:val="24"/>
        </w:rPr>
        <w:t>16</w:t>
      </w:r>
      <w:r>
        <w:rPr>
          <w:rFonts w:hint="eastAsia"/>
          <w:sz w:val="24"/>
        </w:rPr>
        <w:t>多股</w:t>
      </w:r>
      <w:proofErr w:type="gramEnd"/>
      <w:r>
        <w:rPr>
          <w:rFonts w:hint="eastAsia"/>
          <w:sz w:val="24"/>
        </w:rPr>
        <w:t>铜芯线连接到防雷接地排，起防雷接地作用。</w:t>
      </w:r>
    </w:p>
    <w:p w:rsidR="00B45EA4" w:rsidRDefault="00B45EA4">
      <w:pPr>
        <w:spacing w:line="500" w:lineRule="exact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空调设计</w:t>
      </w:r>
    </w:p>
    <w:p w:rsidR="00B45EA4" w:rsidRDefault="00B45EA4">
      <w:pPr>
        <w:spacing w:line="500" w:lineRule="exact"/>
        <w:ind w:firstLine="480"/>
        <w:rPr>
          <w:sz w:val="24"/>
        </w:rPr>
      </w:pP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机房空调供冷系统采取</w:t>
      </w:r>
      <w:r>
        <w:rPr>
          <w:rFonts w:hint="eastAsia"/>
          <w:color w:val="000000" w:themeColor="text1"/>
          <w:sz w:val="24"/>
        </w:rPr>
        <w:t>风冷式空调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匹及以上空调采用三相</w:t>
      </w:r>
      <w:r>
        <w:rPr>
          <w:rFonts w:hint="eastAsia"/>
          <w:sz w:val="24"/>
        </w:rPr>
        <w:t>380V</w:t>
      </w:r>
      <w:r>
        <w:rPr>
          <w:rFonts w:hint="eastAsia"/>
          <w:sz w:val="24"/>
        </w:rPr>
        <w:t>供电，用于在各季节对机房进行供冷和除湿。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空调内机安装位置须考虑出风口正对机柜正面通道，并让冷气到达尽可能远的地方。空调外机置于本层外墙位置，同时注意空调外机热风的交换效果。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空调排水管采用防火阻燃</w:t>
      </w:r>
      <w:r>
        <w:rPr>
          <w:rFonts w:hint="eastAsia"/>
          <w:sz w:val="24"/>
        </w:rPr>
        <w:t>PVC</w:t>
      </w:r>
      <w:r>
        <w:rPr>
          <w:rFonts w:hint="eastAsia"/>
          <w:sz w:val="24"/>
        </w:rPr>
        <w:t>压力管引至室外排水沟。机房内空调排水管沿墙面铺设，并有不小于千分之五的坡度，试验压力不小于</w:t>
      </w:r>
      <w:r>
        <w:rPr>
          <w:rFonts w:hint="eastAsia"/>
          <w:sz w:val="24"/>
        </w:rPr>
        <w:t>5KG</w:t>
      </w:r>
      <w:r>
        <w:rPr>
          <w:rFonts w:hint="eastAsia"/>
          <w:sz w:val="24"/>
        </w:rPr>
        <w:t>。</w:t>
      </w:r>
    </w:p>
    <w:p w:rsidR="00B45EA4" w:rsidRDefault="00EB4174">
      <w:pPr>
        <w:snapToGrid w:val="0"/>
        <w:spacing w:line="500" w:lineRule="exact"/>
        <w:ind w:left="2" w:firstLineChars="200" w:firstLine="488"/>
        <w:rPr>
          <w:rFonts w:ascii="宋体" w:hAnsi="宋体" w:cs="宋体"/>
          <w:spacing w:val="2"/>
          <w:sz w:val="24"/>
        </w:rPr>
      </w:pPr>
      <w:r>
        <w:rPr>
          <w:rFonts w:ascii="宋体" w:hAnsi="宋体" w:cs="宋体" w:hint="eastAsia"/>
          <w:spacing w:val="2"/>
          <w:sz w:val="24"/>
        </w:rPr>
        <w:t>1. 空调冷量核算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）机房发热量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根据机柜耗电量计算，则机柜发热量为</w:t>
      </w:r>
      <w:r>
        <w:rPr>
          <w:rFonts w:hint="eastAsia"/>
          <w:sz w:val="24"/>
        </w:rPr>
        <w:t>15*1.0kW=15kW</w:t>
      </w:r>
      <w:r>
        <w:rPr>
          <w:rFonts w:hint="eastAsia"/>
          <w:sz w:val="24"/>
        </w:rPr>
        <w:t>；根据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的能效比，则发热量</w:t>
      </w:r>
      <w:r>
        <w:rPr>
          <w:rFonts w:hint="eastAsia"/>
          <w:sz w:val="24"/>
        </w:rPr>
        <w:t>20kW*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1-0.95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=1kW</w:t>
      </w:r>
      <w:r>
        <w:rPr>
          <w:rFonts w:hint="eastAsia"/>
          <w:sz w:val="24"/>
        </w:rPr>
        <w:t>；根据机房楼层、朝向、墙体结构等因素，则传输机房外部向内传导面积热量估算值为每平方米按</w:t>
      </w:r>
      <w:r>
        <w:rPr>
          <w:color w:val="000000" w:themeColor="text1"/>
          <w:sz w:val="24"/>
        </w:rPr>
        <w:t>0.</w:t>
      </w:r>
      <w:r>
        <w:rPr>
          <w:rFonts w:hint="eastAsia"/>
          <w:color w:val="000000" w:themeColor="text1"/>
          <w:sz w:val="24"/>
        </w:rPr>
        <w:t>1</w:t>
      </w:r>
      <w:r>
        <w:rPr>
          <w:rFonts w:hint="eastAsia"/>
          <w:sz w:val="24"/>
        </w:rPr>
        <w:t>kW</w:t>
      </w:r>
      <w:r>
        <w:rPr>
          <w:rFonts w:hint="eastAsia"/>
          <w:sz w:val="24"/>
        </w:rPr>
        <w:t>，传输机房一期使用面积约</w:t>
      </w:r>
      <w:r>
        <w:rPr>
          <w:rFonts w:hint="eastAsia"/>
          <w:sz w:val="24"/>
        </w:rPr>
        <w:t>61.8</w:t>
      </w:r>
      <w:r>
        <w:rPr>
          <w:rFonts w:hint="eastAsia"/>
          <w:sz w:val="24"/>
        </w:rPr>
        <w:t>平方米，外部发热量为</w:t>
      </w:r>
      <w:r>
        <w:rPr>
          <w:rFonts w:hint="eastAsia"/>
          <w:color w:val="000000" w:themeColor="text1"/>
          <w:sz w:val="24"/>
        </w:rPr>
        <w:t>6.18</w:t>
      </w:r>
      <w:r>
        <w:rPr>
          <w:rFonts w:hint="eastAsia"/>
          <w:sz w:val="24"/>
        </w:rPr>
        <w:t>kW</w:t>
      </w:r>
      <w:r>
        <w:rPr>
          <w:rFonts w:hint="eastAsia"/>
          <w:sz w:val="24"/>
        </w:rPr>
        <w:t>。总发热量合计</w:t>
      </w:r>
      <w:r>
        <w:rPr>
          <w:rFonts w:hint="eastAsia"/>
          <w:color w:val="000000" w:themeColor="text1"/>
          <w:sz w:val="24"/>
        </w:rPr>
        <w:t>22.18</w:t>
      </w:r>
      <w:r>
        <w:rPr>
          <w:rFonts w:hint="eastAsia"/>
          <w:sz w:val="24"/>
        </w:rPr>
        <w:t>kW</w:t>
      </w:r>
      <w:r>
        <w:rPr>
          <w:rFonts w:hint="eastAsia"/>
          <w:sz w:val="24"/>
        </w:rPr>
        <w:t>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）机房制冷量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制冷量须大于等于总的发热量，按照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匹空调制冷量</w:t>
      </w:r>
      <w:r>
        <w:rPr>
          <w:rFonts w:hint="eastAsia"/>
          <w:sz w:val="24"/>
        </w:rPr>
        <w:t>12.3kW</w:t>
      </w:r>
      <w:r>
        <w:rPr>
          <w:rFonts w:hint="eastAsia"/>
          <w:sz w:val="24"/>
        </w:rPr>
        <w:t>，故机房一期建设需配置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台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匹机房专用柜式空调</w:t>
      </w:r>
      <w:r>
        <w:rPr>
          <w:sz w:val="24"/>
        </w:rPr>
        <w:t>。</w:t>
      </w:r>
    </w:p>
    <w:p w:rsidR="00B45EA4" w:rsidRDefault="00B45EA4">
      <w:pPr>
        <w:spacing w:line="500" w:lineRule="exact"/>
        <w:ind w:firstLineChars="200" w:firstLine="480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动力环境监控设计</w:t>
      </w:r>
    </w:p>
    <w:p w:rsidR="00B45EA4" w:rsidRDefault="00B45EA4">
      <w:pPr>
        <w:spacing w:line="500" w:lineRule="exact"/>
        <w:ind w:firstLineChars="200" w:firstLine="480"/>
        <w:rPr>
          <w:sz w:val="24"/>
        </w:rPr>
      </w:pP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lastRenderedPageBreak/>
        <w:t>一、动力监控系统</w:t>
      </w:r>
    </w:p>
    <w:p w:rsidR="00B45EA4" w:rsidRDefault="00EB4174">
      <w:pPr>
        <w:spacing w:line="500" w:lineRule="exact"/>
        <w:ind w:firstLine="480"/>
        <w:rPr>
          <w:sz w:val="24"/>
        </w:rPr>
      </w:pPr>
      <w:r>
        <w:rPr>
          <w:rFonts w:hint="eastAsia"/>
          <w:sz w:val="24"/>
        </w:rPr>
        <w:t>在机房内配置动力监控系统，对供电电源、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等运行参数进行监测，供电配电柜内部配置数字智能</w:t>
      </w:r>
      <w:proofErr w:type="gramStart"/>
      <w:r>
        <w:rPr>
          <w:rFonts w:hint="eastAsia"/>
          <w:sz w:val="24"/>
        </w:rPr>
        <w:t>电量仪需带</w:t>
      </w:r>
      <w:proofErr w:type="gramEnd"/>
      <w:r>
        <w:rPr>
          <w:rFonts w:hint="eastAsia"/>
          <w:sz w:val="24"/>
        </w:rPr>
        <w:t>监测接口和通讯协议，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主机和空调主机需带通讯监测接口和通讯协议。</w:t>
      </w:r>
    </w:p>
    <w:p w:rsidR="00B45EA4" w:rsidRDefault="00EB4174">
      <w:pPr>
        <w:spacing w:line="500" w:lineRule="exact"/>
        <w:ind w:firstLine="480"/>
        <w:rPr>
          <w:sz w:val="24"/>
        </w:rPr>
      </w:pPr>
      <w:r>
        <w:rPr>
          <w:rFonts w:hint="eastAsia"/>
          <w:sz w:val="24"/>
        </w:rPr>
        <w:t>供电电源主要监测参数为各相电压、电流、有功功率、视在功率等；</w:t>
      </w:r>
      <w:r>
        <w:rPr>
          <w:rFonts w:hint="eastAsia"/>
          <w:sz w:val="24"/>
        </w:rPr>
        <w:t>UPS</w:t>
      </w:r>
      <w:r>
        <w:rPr>
          <w:rFonts w:hint="eastAsia"/>
          <w:sz w:val="24"/>
        </w:rPr>
        <w:t>主要监测参数为各相电压、电流、视在功率等；对空调进行远程开关控制</w:t>
      </w:r>
      <w:r>
        <w:rPr>
          <w:rFonts w:hint="eastAsia"/>
          <w:color w:val="0000FF"/>
          <w:sz w:val="24"/>
        </w:rPr>
        <w:t>。</w:t>
      </w:r>
    </w:p>
    <w:p w:rsidR="00B45EA4" w:rsidRDefault="00EB4174">
      <w:pPr>
        <w:spacing w:line="500" w:lineRule="exact"/>
        <w:rPr>
          <w:sz w:val="24"/>
        </w:rPr>
      </w:pPr>
      <w:r>
        <w:rPr>
          <w:rFonts w:hint="eastAsia"/>
          <w:sz w:val="24"/>
        </w:rPr>
        <w:t>二、环境监控系统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进出机房的入门处设置门禁读卡器，只允许相关的工作人员进出机房。门禁主机安装在传输机房内，读卡器安装于机房入门处附近的墙面上，出门按钮安装于传输机房内出口处附近墙面。要求门禁系统一旦启用，摄像机自动开始监控录像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在机房顶棚上安装温湿度传感器，对机房内部环境进行温湿度监测，一个温湿度传感器可监测范围设定在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25m2</w:t>
      </w:r>
      <w:r>
        <w:rPr>
          <w:rFonts w:hint="eastAsia"/>
          <w:sz w:val="24"/>
        </w:rPr>
        <w:t>面积。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漏水</w:t>
      </w:r>
      <w:proofErr w:type="gramStart"/>
      <w:r>
        <w:rPr>
          <w:rFonts w:hint="eastAsia"/>
          <w:sz w:val="24"/>
        </w:rPr>
        <w:t>感应绳沿机房</w:t>
      </w:r>
      <w:proofErr w:type="gramEnd"/>
      <w:r>
        <w:rPr>
          <w:rFonts w:hint="eastAsia"/>
          <w:sz w:val="24"/>
        </w:rPr>
        <w:t>墙地面布放，与漏水检测控制器连接。选用定位式漏水检测控制器。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在机房内设置若干视频摄像机，配备硬盘录像机（</w:t>
      </w:r>
      <w:r>
        <w:rPr>
          <w:rFonts w:hint="eastAsia"/>
          <w:sz w:val="24"/>
        </w:rPr>
        <w:t>NVR</w:t>
      </w:r>
      <w:r>
        <w:rPr>
          <w:rFonts w:hint="eastAsia"/>
          <w:sz w:val="24"/>
        </w:rPr>
        <w:t>），对机房的入口、机柜内设备等重点位置进行图像监控和收录。硬盘录像机与机房内的网络交换机连接。</w:t>
      </w:r>
    </w:p>
    <w:p w:rsidR="00B45EA4" w:rsidRDefault="00EB4174">
      <w:pPr>
        <w:spacing w:line="500" w:lineRule="exact"/>
        <w:ind w:firstLineChars="200" w:firstLine="480"/>
        <w:rPr>
          <w:b/>
          <w:bCs/>
          <w:sz w:val="24"/>
        </w:rPr>
      </w:pPr>
      <w:r>
        <w:rPr>
          <w:rFonts w:hint="eastAsia"/>
          <w:sz w:val="24"/>
        </w:rPr>
        <w:t>本次机房监控施工部分为图像监控，</w:t>
      </w:r>
      <w:proofErr w:type="gramStart"/>
      <w:r>
        <w:rPr>
          <w:rFonts w:hint="eastAsia"/>
          <w:sz w:val="24"/>
        </w:rPr>
        <w:t>动环监控</w:t>
      </w:r>
      <w:proofErr w:type="gramEnd"/>
      <w:r>
        <w:rPr>
          <w:rFonts w:hint="eastAsia"/>
          <w:sz w:val="24"/>
        </w:rPr>
        <w:t>设备和平台由分公司后期统一安装</w:t>
      </w:r>
      <w:r>
        <w:rPr>
          <w:rFonts w:hint="eastAsia"/>
          <w:b/>
          <w:bCs/>
          <w:sz w:val="24"/>
        </w:rPr>
        <w:t>。</w:t>
      </w:r>
    </w:p>
    <w:p w:rsidR="00B45EA4" w:rsidRDefault="00B45EA4">
      <w:pPr>
        <w:spacing w:line="500" w:lineRule="exact"/>
        <w:rPr>
          <w:sz w:val="24"/>
        </w:rPr>
      </w:pPr>
    </w:p>
    <w:p w:rsidR="00B45EA4" w:rsidRDefault="00EB4174">
      <w:pPr>
        <w:numPr>
          <w:ilvl w:val="0"/>
          <w:numId w:val="3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消防设计</w:t>
      </w:r>
    </w:p>
    <w:p w:rsidR="00B45EA4" w:rsidRDefault="00B45EA4">
      <w:pPr>
        <w:spacing w:line="500" w:lineRule="exact"/>
        <w:ind w:firstLineChars="200" w:firstLine="480"/>
        <w:rPr>
          <w:sz w:val="24"/>
        </w:rPr>
      </w:pP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消防系统所有线</w:t>
      </w:r>
      <w:proofErr w:type="gramStart"/>
      <w:r>
        <w:rPr>
          <w:rFonts w:hint="eastAsia"/>
          <w:sz w:val="24"/>
        </w:rPr>
        <w:t>缆</w:t>
      </w:r>
      <w:proofErr w:type="gramEnd"/>
      <w:r>
        <w:rPr>
          <w:rFonts w:hint="eastAsia"/>
          <w:sz w:val="24"/>
        </w:rPr>
        <w:t>要求使用热镀锌钢管保护敷设。</w:t>
      </w:r>
    </w:p>
    <w:p w:rsidR="00B45EA4" w:rsidRDefault="00EB4174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机房采用火灾自动报警灭火系统，灭火气体</w:t>
      </w:r>
      <w:proofErr w:type="gramStart"/>
      <w:r>
        <w:rPr>
          <w:rFonts w:hint="eastAsia"/>
          <w:sz w:val="24"/>
        </w:rPr>
        <w:t>选用七氟丙烷</w:t>
      </w:r>
      <w:proofErr w:type="gramEnd"/>
      <w:r>
        <w:rPr>
          <w:rFonts w:hint="eastAsia"/>
          <w:sz w:val="24"/>
        </w:rPr>
        <w:t>，消防系统具体的设计、施工须交由有消防设计、施工资质的单位。</w:t>
      </w:r>
    </w:p>
    <w:p w:rsidR="00B45EA4" w:rsidRDefault="00B45EA4">
      <w:pPr>
        <w:spacing w:line="500" w:lineRule="exact"/>
        <w:ind w:firstLineChars="200" w:firstLine="480"/>
        <w:rPr>
          <w:sz w:val="24"/>
        </w:rPr>
      </w:pPr>
    </w:p>
    <w:sectPr w:rsidR="00B45EA4" w:rsidSect="00153EDA">
      <w:headerReference w:type="default" r:id="rId9"/>
      <w:footerReference w:type="default" r:id="rId10"/>
      <w:footerReference w:type="first" r:id="rId11"/>
      <w:pgSz w:w="11906" w:h="16838"/>
      <w:pgMar w:top="1418" w:right="1701" w:bottom="1134" w:left="1701" w:header="851" w:footer="737" w:gutter="284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5BA" w:rsidRDefault="002C65BA">
      <w:r>
        <w:separator/>
      </w:r>
    </w:p>
  </w:endnote>
  <w:endnote w:type="continuationSeparator" w:id="1">
    <w:p w:rsidR="002C65BA" w:rsidRDefault="002C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A4" w:rsidRDefault="00E25A6E">
    <w:pPr>
      <w:pStyle w:val="font6"/>
      <w:jc w:val="right"/>
      <w:rPr>
        <w:rFonts w:hint="default"/>
      </w:rPr>
    </w:pPr>
    <w:r>
      <w:rPr>
        <w:rFonts w:hint="default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506" o:spid="_x0000_s2049" type="#_x0000_t202" style="position:absolute;left:0;text-align:left;margin-left:191.15pt;margin-top:-25.2pt;width:9.05pt;height:55.6pt;z-index:25166028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" filled="f" stroked="f">
          <v:textbox inset="0,0,0,0">
            <w:txbxContent>
              <w:p w:rsidR="00B45EA4" w:rsidRDefault="00B45EA4">
                <w:pPr>
                  <w:pStyle w:val="font6"/>
                  <w:jc w:val="center"/>
                  <w:rPr>
                    <w:rFonts w:hint="default"/>
                  </w:rPr>
                </w:pPr>
              </w:p>
              <w:p w:rsidR="00B45EA4" w:rsidRDefault="00E25A6E">
                <w:pPr>
                  <w:pStyle w:val="font6"/>
                  <w:jc w:val="center"/>
                  <w:rPr>
                    <w:rFonts w:hint="default"/>
                  </w:rPr>
                </w:pPr>
                <w:r>
                  <w:rPr>
                    <w:rFonts w:hint="default"/>
                  </w:rPr>
                  <w:fldChar w:fldCharType="begin"/>
                </w:r>
                <w:r w:rsidR="00EB4174">
                  <w:instrText xml:space="preserve"> PAGE </w:instrText>
                </w:r>
                <w:r>
                  <w:rPr>
                    <w:rFonts w:hint="default"/>
                  </w:rPr>
                  <w:fldChar w:fldCharType="separate"/>
                </w:r>
                <w:r w:rsidR="00A67D9F">
                  <w:rPr>
                    <w:rFonts w:hint="default"/>
                    <w:noProof/>
                  </w:rPr>
                  <w:t>10</w:t>
                </w:r>
                <w:r>
                  <w:rPr>
                    <w:rFonts w:hint="default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A4" w:rsidRDefault="00B45EA4">
    <w:pPr>
      <w:pStyle w:val="font6"/>
      <w:wordWrap w:val="0"/>
      <w:jc w:val="right"/>
      <w:rPr>
        <w:rFonts w:hint="defaul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5BA" w:rsidRDefault="002C65BA">
      <w:r>
        <w:separator/>
      </w:r>
    </w:p>
  </w:footnote>
  <w:footnote w:type="continuationSeparator" w:id="1">
    <w:p w:rsidR="002C65BA" w:rsidRDefault="002C6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A4" w:rsidRDefault="00EB4174">
    <w:pPr>
      <w:pStyle w:val="a6"/>
    </w:pPr>
    <w:r>
      <w:t>福建广电网络</w:t>
    </w:r>
    <w:r>
      <w:rPr>
        <w:rFonts w:hint="eastAsia"/>
      </w:rPr>
      <w:t>实业发展有限公司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7A92CF"/>
    <w:multiLevelType w:val="singleLevel"/>
    <w:tmpl w:val="9F7A92CF"/>
    <w:lvl w:ilvl="0">
      <w:start w:val="5"/>
      <w:numFmt w:val="decimal"/>
      <w:suff w:val="nothing"/>
      <w:lvlText w:val="（%1）"/>
      <w:lvlJc w:val="left"/>
    </w:lvl>
  </w:abstractNum>
  <w:abstractNum w:abstractNumId="1">
    <w:nsid w:val="2F811D52"/>
    <w:multiLevelType w:val="multilevel"/>
    <w:tmpl w:val="2F811D52"/>
    <w:lvl w:ilvl="0">
      <w:start w:val="1"/>
      <w:numFmt w:val="japaneseCounting"/>
      <w:lvlText w:val="第%1章"/>
      <w:lvlJc w:val="left"/>
      <w:pPr>
        <w:tabs>
          <w:tab w:val="left" w:pos="1080"/>
        </w:tabs>
        <w:ind w:left="1080" w:hanging="108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left" w:pos="1410"/>
        </w:tabs>
        <w:ind w:left="1410" w:hanging="990"/>
      </w:pPr>
      <w:rPr>
        <w:rFonts w:ascii="Times New Roman" w:eastAsia="宋体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DCD79B5"/>
    <w:multiLevelType w:val="multilevel"/>
    <w:tmpl w:val="4DCD79B5"/>
    <w:lvl w:ilvl="0">
      <w:start w:val="1"/>
      <w:numFmt w:val="japaneseCounting"/>
      <w:lvlText w:val="第%1节"/>
      <w:lvlJc w:val="left"/>
      <w:pPr>
        <w:tabs>
          <w:tab w:val="left" w:pos="975"/>
        </w:tabs>
        <w:ind w:left="975" w:hanging="975"/>
      </w:pPr>
      <w:rPr>
        <w:rFonts w:hint="eastAsia"/>
        <w:lang w:val="en-US"/>
      </w:rPr>
    </w:lvl>
    <w:lvl w:ilvl="1">
      <w:start w:val="1"/>
      <w:numFmt w:val="japaneseCounting"/>
      <w:lvlText w:val="第%2节"/>
      <w:lvlJc w:val="left"/>
      <w:pPr>
        <w:tabs>
          <w:tab w:val="left" w:pos="1380"/>
        </w:tabs>
        <w:ind w:left="1380" w:hanging="9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13409CC"/>
    <w:multiLevelType w:val="multilevel"/>
    <w:tmpl w:val="513409CC"/>
    <w:lvl w:ilvl="0">
      <w:start w:val="1"/>
      <w:numFmt w:val="japaneseCounting"/>
      <w:lvlText w:val="第%1节"/>
      <w:lvlJc w:val="left"/>
      <w:pPr>
        <w:tabs>
          <w:tab w:val="left" w:pos="1125"/>
        </w:tabs>
        <w:ind w:left="1125" w:hanging="1125"/>
      </w:pPr>
      <w:rPr>
        <w:rFonts w:hint="eastAsia"/>
      </w:rPr>
    </w:lvl>
    <w:lvl w:ilvl="1">
      <w:start w:val="1"/>
      <w:numFmt w:val="japaneseCounting"/>
      <w:lvlText w:val="第%2章"/>
      <w:lvlJc w:val="left"/>
      <w:pPr>
        <w:tabs>
          <w:tab w:val="left" w:pos="1530"/>
        </w:tabs>
        <w:ind w:left="1530" w:hanging="111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49BE066"/>
    <w:multiLevelType w:val="singleLevel"/>
    <w:tmpl w:val="549BE066"/>
    <w:lvl w:ilvl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聪林">
    <w15:presenceInfo w15:providerId="None" w15:userId="谢聪林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D10"/>
    <w:rsid w:val="00023E53"/>
    <w:rsid w:val="000249EE"/>
    <w:rsid w:val="00025394"/>
    <w:rsid w:val="0004229E"/>
    <w:rsid w:val="00055386"/>
    <w:rsid w:val="00090C62"/>
    <w:rsid w:val="000B6B90"/>
    <w:rsid w:val="000C0F28"/>
    <w:rsid w:val="000C107D"/>
    <w:rsid w:val="000D7770"/>
    <w:rsid w:val="000E5283"/>
    <w:rsid w:val="000F1D68"/>
    <w:rsid w:val="00101151"/>
    <w:rsid w:val="00135F40"/>
    <w:rsid w:val="0014767C"/>
    <w:rsid w:val="00153EDA"/>
    <w:rsid w:val="001557EF"/>
    <w:rsid w:val="00172A27"/>
    <w:rsid w:val="00181CD6"/>
    <w:rsid w:val="00182443"/>
    <w:rsid w:val="001824FC"/>
    <w:rsid w:val="00192270"/>
    <w:rsid w:val="001946C2"/>
    <w:rsid w:val="001951CF"/>
    <w:rsid w:val="00196A71"/>
    <w:rsid w:val="001A283D"/>
    <w:rsid w:val="001B61FA"/>
    <w:rsid w:val="001B6532"/>
    <w:rsid w:val="001C72EB"/>
    <w:rsid w:val="001D0AC8"/>
    <w:rsid w:val="001D21A3"/>
    <w:rsid w:val="001E5BB6"/>
    <w:rsid w:val="001F2811"/>
    <w:rsid w:val="001F3C71"/>
    <w:rsid w:val="001F5959"/>
    <w:rsid w:val="00202820"/>
    <w:rsid w:val="00205ADF"/>
    <w:rsid w:val="00206225"/>
    <w:rsid w:val="00207C53"/>
    <w:rsid w:val="002127CB"/>
    <w:rsid w:val="002175B1"/>
    <w:rsid w:val="002308A4"/>
    <w:rsid w:val="002340FE"/>
    <w:rsid w:val="00234C75"/>
    <w:rsid w:val="002465C4"/>
    <w:rsid w:val="00255450"/>
    <w:rsid w:val="002615B4"/>
    <w:rsid w:val="00265374"/>
    <w:rsid w:val="0028226B"/>
    <w:rsid w:val="002869ED"/>
    <w:rsid w:val="00287278"/>
    <w:rsid w:val="002946E2"/>
    <w:rsid w:val="00295B88"/>
    <w:rsid w:val="00297B11"/>
    <w:rsid w:val="002A2F0E"/>
    <w:rsid w:val="002B1AAF"/>
    <w:rsid w:val="002B4A1D"/>
    <w:rsid w:val="002B54D3"/>
    <w:rsid w:val="002C223A"/>
    <w:rsid w:val="002C65BA"/>
    <w:rsid w:val="002D69F5"/>
    <w:rsid w:val="002E3B55"/>
    <w:rsid w:val="002F0107"/>
    <w:rsid w:val="00301C7E"/>
    <w:rsid w:val="0034045B"/>
    <w:rsid w:val="00342843"/>
    <w:rsid w:val="00351D6A"/>
    <w:rsid w:val="00353319"/>
    <w:rsid w:val="003637CF"/>
    <w:rsid w:val="00365AB8"/>
    <w:rsid w:val="003807BC"/>
    <w:rsid w:val="00382E00"/>
    <w:rsid w:val="003904BA"/>
    <w:rsid w:val="00391EA5"/>
    <w:rsid w:val="003923DC"/>
    <w:rsid w:val="003A4F25"/>
    <w:rsid w:val="003A7858"/>
    <w:rsid w:val="003C39DA"/>
    <w:rsid w:val="003E0380"/>
    <w:rsid w:val="003E5153"/>
    <w:rsid w:val="003F456E"/>
    <w:rsid w:val="00406C32"/>
    <w:rsid w:val="00415E2F"/>
    <w:rsid w:val="004440A4"/>
    <w:rsid w:val="00445BD0"/>
    <w:rsid w:val="004603C2"/>
    <w:rsid w:val="00477482"/>
    <w:rsid w:val="00491408"/>
    <w:rsid w:val="0049298F"/>
    <w:rsid w:val="00497C9B"/>
    <w:rsid w:val="004A3852"/>
    <w:rsid w:val="004B2690"/>
    <w:rsid w:val="004B7036"/>
    <w:rsid w:val="004C6B6B"/>
    <w:rsid w:val="004D0745"/>
    <w:rsid w:val="004E0ECE"/>
    <w:rsid w:val="004E5327"/>
    <w:rsid w:val="005011DA"/>
    <w:rsid w:val="00505E5F"/>
    <w:rsid w:val="00516BD0"/>
    <w:rsid w:val="005179DF"/>
    <w:rsid w:val="00522951"/>
    <w:rsid w:val="00530028"/>
    <w:rsid w:val="00537E90"/>
    <w:rsid w:val="005468F7"/>
    <w:rsid w:val="005549DC"/>
    <w:rsid w:val="00571B9B"/>
    <w:rsid w:val="005735F5"/>
    <w:rsid w:val="00584477"/>
    <w:rsid w:val="005A0EE4"/>
    <w:rsid w:val="005A380A"/>
    <w:rsid w:val="005D3C1A"/>
    <w:rsid w:val="005F2143"/>
    <w:rsid w:val="005F4836"/>
    <w:rsid w:val="005F728C"/>
    <w:rsid w:val="006106FE"/>
    <w:rsid w:val="00615A83"/>
    <w:rsid w:val="00623101"/>
    <w:rsid w:val="00623DFD"/>
    <w:rsid w:val="006258F2"/>
    <w:rsid w:val="00635521"/>
    <w:rsid w:val="00652E02"/>
    <w:rsid w:val="006706EC"/>
    <w:rsid w:val="00674F80"/>
    <w:rsid w:val="0067638C"/>
    <w:rsid w:val="00680842"/>
    <w:rsid w:val="006A348D"/>
    <w:rsid w:val="006A40DA"/>
    <w:rsid w:val="006A54EA"/>
    <w:rsid w:val="006B6FC2"/>
    <w:rsid w:val="006C0215"/>
    <w:rsid w:val="006C0666"/>
    <w:rsid w:val="006C157E"/>
    <w:rsid w:val="006C598D"/>
    <w:rsid w:val="006C758C"/>
    <w:rsid w:val="006D6CA4"/>
    <w:rsid w:val="006E478D"/>
    <w:rsid w:val="006F1C44"/>
    <w:rsid w:val="006F6A96"/>
    <w:rsid w:val="007036C5"/>
    <w:rsid w:val="007273FC"/>
    <w:rsid w:val="00731916"/>
    <w:rsid w:val="00731F66"/>
    <w:rsid w:val="00734EED"/>
    <w:rsid w:val="00737881"/>
    <w:rsid w:val="00744856"/>
    <w:rsid w:val="00750F3A"/>
    <w:rsid w:val="007807CD"/>
    <w:rsid w:val="007926DB"/>
    <w:rsid w:val="007935D8"/>
    <w:rsid w:val="00794278"/>
    <w:rsid w:val="007A7245"/>
    <w:rsid w:val="007B621F"/>
    <w:rsid w:val="007B712D"/>
    <w:rsid w:val="007C2F09"/>
    <w:rsid w:val="007D1557"/>
    <w:rsid w:val="007D1831"/>
    <w:rsid w:val="007D4E90"/>
    <w:rsid w:val="007E3766"/>
    <w:rsid w:val="007F2A53"/>
    <w:rsid w:val="00803D5B"/>
    <w:rsid w:val="0081226B"/>
    <w:rsid w:val="008149F0"/>
    <w:rsid w:val="00821F86"/>
    <w:rsid w:val="008344A5"/>
    <w:rsid w:val="0084201E"/>
    <w:rsid w:val="00843814"/>
    <w:rsid w:val="0084586A"/>
    <w:rsid w:val="0085067B"/>
    <w:rsid w:val="00851615"/>
    <w:rsid w:val="00861010"/>
    <w:rsid w:val="00861BA4"/>
    <w:rsid w:val="00863FBE"/>
    <w:rsid w:val="0087577E"/>
    <w:rsid w:val="00876411"/>
    <w:rsid w:val="00881E7E"/>
    <w:rsid w:val="00882058"/>
    <w:rsid w:val="00896C40"/>
    <w:rsid w:val="008A6044"/>
    <w:rsid w:val="008C360F"/>
    <w:rsid w:val="008F0267"/>
    <w:rsid w:val="0090212F"/>
    <w:rsid w:val="009043A5"/>
    <w:rsid w:val="00922E9A"/>
    <w:rsid w:val="00925291"/>
    <w:rsid w:val="00947EAF"/>
    <w:rsid w:val="009613E4"/>
    <w:rsid w:val="00963A44"/>
    <w:rsid w:val="00971594"/>
    <w:rsid w:val="0097363D"/>
    <w:rsid w:val="0098640E"/>
    <w:rsid w:val="0098697E"/>
    <w:rsid w:val="009872F2"/>
    <w:rsid w:val="00992B20"/>
    <w:rsid w:val="009A3053"/>
    <w:rsid w:val="009B2686"/>
    <w:rsid w:val="009B763E"/>
    <w:rsid w:val="009C5767"/>
    <w:rsid w:val="009D636B"/>
    <w:rsid w:val="009E085E"/>
    <w:rsid w:val="009E0B61"/>
    <w:rsid w:val="009E2DCD"/>
    <w:rsid w:val="009E5CF5"/>
    <w:rsid w:val="00A01AEF"/>
    <w:rsid w:val="00A0662E"/>
    <w:rsid w:val="00A14E5F"/>
    <w:rsid w:val="00A2652C"/>
    <w:rsid w:val="00A41872"/>
    <w:rsid w:val="00A41E98"/>
    <w:rsid w:val="00A45229"/>
    <w:rsid w:val="00A61122"/>
    <w:rsid w:val="00A62FCE"/>
    <w:rsid w:val="00A64374"/>
    <w:rsid w:val="00A64B04"/>
    <w:rsid w:val="00A66EB0"/>
    <w:rsid w:val="00A67D9F"/>
    <w:rsid w:val="00A7147D"/>
    <w:rsid w:val="00AA3787"/>
    <w:rsid w:val="00AB1A65"/>
    <w:rsid w:val="00AB7EC5"/>
    <w:rsid w:val="00AC61FE"/>
    <w:rsid w:val="00AE10ED"/>
    <w:rsid w:val="00AF2980"/>
    <w:rsid w:val="00AF3C83"/>
    <w:rsid w:val="00AF6C73"/>
    <w:rsid w:val="00B04123"/>
    <w:rsid w:val="00B058B3"/>
    <w:rsid w:val="00B13ED4"/>
    <w:rsid w:val="00B149E0"/>
    <w:rsid w:val="00B21BBB"/>
    <w:rsid w:val="00B36788"/>
    <w:rsid w:val="00B37445"/>
    <w:rsid w:val="00B45EA4"/>
    <w:rsid w:val="00B50ECD"/>
    <w:rsid w:val="00B54F9E"/>
    <w:rsid w:val="00B578C9"/>
    <w:rsid w:val="00B64A8D"/>
    <w:rsid w:val="00B85753"/>
    <w:rsid w:val="00B87D83"/>
    <w:rsid w:val="00B90F0B"/>
    <w:rsid w:val="00B914C2"/>
    <w:rsid w:val="00BA0453"/>
    <w:rsid w:val="00BD0ABA"/>
    <w:rsid w:val="00BD3E38"/>
    <w:rsid w:val="00BD3F96"/>
    <w:rsid w:val="00BE4824"/>
    <w:rsid w:val="00BE540B"/>
    <w:rsid w:val="00BE590B"/>
    <w:rsid w:val="00BF0E86"/>
    <w:rsid w:val="00C06F77"/>
    <w:rsid w:val="00C10D2C"/>
    <w:rsid w:val="00C152B9"/>
    <w:rsid w:val="00C27CF7"/>
    <w:rsid w:val="00C3424D"/>
    <w:rsid w:val="00C363B8"/>
    <w:rsid w:val="00C531D7"/>
    <w:rsid w:val="00C708F3"/>
    <w:rsid w:val="00C71164"/>
    <w:rsid w:val="00C72233"/>
    <w:rsid w:val="00C76230"/>
    <w:rsid w:val="00C820D7"/>
    <w:rsid w:val="00CA0C57"/>
    <w:rsid w:val="00CA71F3"/>
    <w:rsid w:val="00CB5A14"/>
    <w:rsid w:val="00CC4C58"/>
    <w:rsid w:val="00CD6493"/>
    <w:rsid w:val="00CF171E"/>
    <w:rsid w:val="00CF6161"/>
    <w:rsid w:val="00D00A22"/>
    <w:rsid w:val="00D060FD"/>
    <w:rsid w:val="00D10765"/>
    <w:rsid w:val="00D14D8D"/>
    <w:rsid w:val="00D211E3"/>
    <w:rsid w:val="00D26587"/>
    <w:rsid w:val="00D4100C"/>
    <w:rsid w:val="00D429C0"/>
    <w:rsid w:val="00D44E35"/>
    <w:rsid w:val="00D572D2"/>
    <w:rsid w:val="00D6214A"/>
    <w:rsid w:val="00D640E7"/>
    <w:rsid w:val="00D6767B"/>
    <w:rsid w:val="00D73C51"/>
    <w:rsid w:val="00D779F3"/>
    <w:rsid w:val="00D91755"/>
    <w:rsid w:val="00D92384"/>
    <w:rsid w:val="00D96029"/>
    <w:rsid w:val="00DA1986"/>
    <w:rsid w:val="00DA4EB5"/>
    <w:rsid w:val="00DC08D7"/>
    <w:rsid w:val="00DD1CDF"/>
    <w:rsid w:val="00DD53B2"/>
    <w:rsid w:val="00DD5B14"/>
    <w:rsid w:val="00DE1628"/>
    <w:rsid w:val="00DE186F"/>
    <w:rsid w:val="00E15AC6"/>
    <w:rsid w:val="00E21700"/>
    <w:rsid w:val="00E25A6E"/>
    <w:rsid w:val="00E33022"/>
    <w:rsid w:val="00E33B03"/>
    <w:rsid w:val="00E54014"/>
    <w:rsid w:val="00E64C9C"/>
    <w:rsid w:val="00E748AE"/>
    <w:rsid w:val="00E75A2E"/>
    <w:rsid w:val="00E8091A"/>
    <w:rsid w:val="00E846F6"/>
    <w:rsid w:val="00E9495E"/>
    <w:rsid w:val="00E95A51"/>
    <w:rsid w:val="00E95FA6"/>
    <w:rsid w:val="00EA284F"/>
    <w:rsid w:val="00EB4174"/>
    <w:rsid w:val="00EC31EB"/>
    <w:rsid w:val="00EC4546"/>
    <w:rsid w:val="00EC7FA3"/>
    <w:rsid w:val="00ED5B59"/>
    <w:rsid w:val="00EE0046"/>
    <w:rsid w:val="00EE5171"/>
    <w:rsid w:val="00F10FBF"/>
    <w:rsid w:val="00F12502"/>
    <w:rsid w:val="00F12C7C"/>
    <w:rsid w:val="00F16904"/>
    <w:rsid w:val="00F20E9F"/>
    <w:rsid w:val="00F21B87"/>
    <w:rsid w:val="00F23D6E"/>
    <w:rsid w:val="00F31222"/>
    <w:rsid w:val="00F366F6"/>
    <w:rsid w:val="00F377BB"/>
    <w:rsid w:val="00F44BF2"/>
    <w:rsid w:val="00F47A25"/>
    <w:rsid w:val="00F55B96"/>
    <w:rsid w:val="00F61E81"/>
    <w:rsid w:val="00F800E0"/>
    <w:rsid w:val="00F8223C"/>
    <w:rsid w:val="00FB50F0"/>
    <w:rsid w:val="00FB7F69"/>
    <w:rsid w:val="00FC2591"/>
    <w:rsid w:val="00FC2BB3"/>
    <w:rsid w:val="00FC5D63"/>
    <w:rsid w:val="00FC6505"/>
    <w:rsid w:val="00FC6FB5"/>
    <w:rsid w:val="00FD5CC0"/>
    <w:rsid w:val="00FD7C30"/>
    <w:rsid w:val="00FE0DEE"/>
    <w:rsid w:val="00FE6175"/>
    <w:rsid w:val="00FF66C1"/>
    <w:rsid w:val="00FF70B6"/>
    <w:rsid w:val="06377F37"/>
    <w:rsid w:val="066E3EB7"/>
    <w:rsid w:val="072C6515"/>
    <w:rsid w:val="09D34AA7"/>
    <w:rsid w:val="09DE5374"/>
    <w:rsid w:val="0A73767C"/>
    <w:rsid w:val="0B195AAE"/>
    <w:rsid w:val="0BDC6B84"/>
    <w:rsid w:val="0D7579B6"/>
    <w:rsid w:val="0DC476FA"/>
    <w:rsid w:val="128B4900"/>
    <w:rsid w:val="12FA44C3"/>
    <w:rsid w:val="152A6742"/>
    <w:rsid w:val="15747D24"/>
    <w:rsid w:val="173455AB"/>
    <w:rsid w:val="1B0F753E"/>
    <w:rsid w:val="1D0E785A"/>
    <w:rsid w:val="20FB3476"/>
    <w:rsid w:val="20FE0D68"/>
    <w:rsid w:val="213F2172"/>
    <w:rsid w:val="2171636C"/>
    <w:rsid w:val="229F56EE"/>
    <w:rsid w:val="23AC4B97"/>
    <w:rsid w:val="23D02F2B"/>
    <w:rsid w:val="26B31297"/>
    <w:rsid w:val="27D414D8"/>
    <w:rsid w:val="2829693E"/>
    <w:rsid w:val="287907E2"/>
    <w:rsid w:val="29287704"/>
    <w:rsid w:val="29F079B2"/>
    <w:rsid w:val="2B877BE5"/>
    <w:rsid w:val="2C9D2EC0"/>
    <w:rsid w:val="2D562701"/>
    <w:rsid w:val="2DC96C74"/>
    <w:rsid w:val="30C30BBD"/>
    <w:rsid w:val="34DA6848"/>
    <w:rsid w:val="356576A4"/>
    <w:rsid w:val="35BE5A30"/>
    <w:rsid w:val="36743FC7"/>
    <w:rsid w:val="37965653"/>
    <w:rsid w:val="38482E68"/>
    <w:rsid w:val="38DC23B7"/>
    <w:rsid w:val="39A03495"/>
    <w:rsid w:val="3A7158B3"/>
    <w:rsid w:val="3B7E43FE"/>
    <w:rsid w:val="3C1B6D38"/>
    <w:rsid w:val="3DD71ED4"/>
    <w:rsid w:val="3E780464"/>
    <w:rsid w:val="4121334E"/>
    <w:rsid w:val="43A65FFD"/>
    <w:rsid w:val="43B1325E"/>
    <w:rsid w:val="43BA65CE"/>
    <w:rsid w:val="45BD625F"/>
    <w:rsid w:val="47917555"/>
    <w:rsid w:val="482A031F"/>
    <w:rsid w:val="48A6274D"/>
    <w:rsid w:val="49F221B7"/>
    <w:rsid w:val="4B173286"/>
    <w:rsid w:val="4E3D3204"/>
    <w:rsid w:val="4F286084"/>
    <w:rsid w:val="50CB08F0"/>
    <w:rsid w:val="51DF7B96"/>
    <w:rsid w:val="528D14FE"/>
    <w:rsid w:val="55610159"/>
    <w:rsid w:val="55A72D48"/>
    <w:rsid w:val="560F1140"/>
    <w:rsid w:val="56133803"/>
    <w:rsid w:val="587E4D39"/>
    <w:rsid w:val="5A3C7034"/>
    <w:rsid w:val="5AA7655C"/>
    <w:rsid w:val="5BCE61C7"/>
    <w:rsid w:val="5C7A6938"/>
    <w:rsid w:val="5D065576"/>
    <w:rsid w:val="5D8908D3"/>
    <w:rsid w:val="5EE556E7"/>
    <w:rsid w:val="5F284E78"/>
    <w:rsid w:val="5FD02C69"/>
    <w:rsid w:val="61B00209"/>
    <w:rsid w:val="646C3432"/>
    <w:rsid w:val="65581742"/>
    <w:rsid w:val="67747F73"/>
    <w:rsid w:val="679D4441"/>
    <w:rsid w:val="67DD6277"/>
    <w:rsid w:val="6AA54FC2"/>
    <w:rsid w:val="6B315E83"/>
    <w:rsid w:val="6B7E16C3"/>
    <w:rsid w:val="6BBB56F8"/>
    <w:rsid w:val="6BC70AB9"/>
    <w:rsid w:val="6E5E337C"/>
    <w:rsid w:val="705B7276"/>
    <w:rsid w:val="74380F5D"/>
    <w:rsid w:val="749C2AA6"/>
    <w:rsid w:val="755C1035"/>
    <w:rsid w:val="76CE754B"/>
    <w:rsid w:val="7C4540CC"/>
    <w:rsid w:val="7C630661"/>
    <w:rsid w:val="7DA25965"/>
    <w:rsid w:val="7E457DB6"/>
    <w:rsid w:val="7E602190"/>
    <w:rsid w:val="7E994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semiHidden="0" w:uiPriority="99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unhideWhenUsed="0" w:qFormat="1"/>
    <w:lsdException w:name="Body Text Indent" w:unhideWhenUsed="0" w:qFormat="1"/>
    <w:lsdException w:name="Subtitle" w:semiHidden="0" w:uiPriority="11" w:unhideWhenUsed="0" w:qFormat="1"/>
    <w:lsdException w:name="Body Text Indent 2" w:unhideWhenUsed="0" w:qFormat="1"/>
    <w:lsdException w:name="Body Text Indent 3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153EDA"/>
    <w:pPr>
      <w:spacing w:line="460" w:lineRule="exact"/>
      <w:jc w:val="center"/>
    </w:pPr>
    <w:rPr>
      <w:rFonts w:eastAsia="黑体"/>
      <w:b/>
      <w:bCs/>
      <w:sz w:val="72"/>
    </w:rPr>
  </w:style>
  <w:style w:type="paragraph" w:styleId="a4">
    <w:name w:val="Body Text Indent"/>
    <w:basedOn w:val="a"/>
    <w:semiHidden/>
    <w:qFormat/>
    <w:rsid w:val="00153EDA"/>
    <w:pPr>
      <w:spacing w:line="400" w:lineRule="exact"/>
      <w:ind w:firstLineChars="200" w:firstLine="480"/>
    </w:pPr>
    <w:rPr>
      <w:sz w:val="24"/>
    </w:rPr>
  </w:style>
  <w:style w:type="paragraph" w:styleId="2">
    <w:name w:val="Body Text Indent 2"/>
    <w:basedOn w:val="a"/>
    <w:semiHidden/>
    <w:qFormat/>
    <w:rsid w:val="00153EDA"/>
    <w:pPr>
      <w:ind w:firstLineChars="150" w:firstLine="360"/>
    </w:pPr>
    <w:rPr>
      <w:sz w:val="24"/>
    </w:rPr>
  </w:style>
  <w:style w:type="paragraph" w:styleId="a5">
    <w:name w:val="footer"/>
    <w:basedOn w:val="a"/>
    <w:link w:val="Char"/>
    <w:uiPriority w:val="99"/>
    <w:qFormat/>
    <w:rsid w:val="00153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rsid w:val="00153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semiHidden/>
    <w:qFormat/>
    <w:rsid w:val="00153EDA"/>
    <w:pPr>
      <w:ind w:left="-105" w:firstLineChars="193" w:firstLine="463"/>
    </w:pPr>
    <w:rPr>
      <w:rFonts w:ascii="宋体" w:hAnsi="宋体"/>
      <w:sz w:val="24"/>
    </w:rPr>
  </w:style>
  <w:style w:type="character" w:styleId="a7">
    <w:name w:val="page number"/>
    <w:basedOn w:val="a0"/>
    <w:semiHidden/>
    <w:qFormat/>
    <w:rsid w:val="00153EDA"/>
  </w:style>
  <w:style w:type="paragraph" w:customStyle="1" w:styleId="font5">
    <w:name w:val="font5"/>
    <w:basedOn w:val="a"/>
    <w:qFormat/>
    <w:rsid w:val="00153EDA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font6">
    <w:name w:val="font6"/>
    <w:basedOn w:val="a"/>
    <w:qFormat/>
    <w:rsid w:val="00153ED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Cs w:val="21"/>
    </w:rPr>
  </w:style>
  <w:style w:type="paragraph" w:customStyle="1" w:styleId="font7">
    <w:name w:val="font7"/>
    <w:basedOn w:val="a"/>
    <w:qFormat/>
    <w:rsid w:val="00153ED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font8">
    <w:name w:val="font8"/>
    <w:basedOn w:val="a"/>
    <w:qFormat/>
    <w:rsid w:val="00153EDA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24">
    <w:name w:val="xl24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25">
    <w:name w:val="xl25"/>
    <w:basedOn w:val="a"/>
    <w:qFormat/>
    <w:rsid w:val="00153E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26">
    <w:name w:val="xl26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27">
    <w:name w:val="xl27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28">
    <w:name w:val="xl28"/>
    <w:basedOn w:val="a"/>
    <w:qFormat/>
    <w:rsid w:val="00153E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29">
    <w:name w:val="xl29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0">
    <w:name w:val="xl30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31">
    <w:name w:val="xl31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2">
    <w:name w:val="xl32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3">
    <w:name w:val="xl33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4">
    <w:name w:val="xl34"/>
    <w:basedOn w:val="a"/>
    <w:qFormat/>
    <w:rsid w:val="00153E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5">
    <w:name w:val="xl35"/>
    <w:basedOn w:val="a"/>
    <w:qFormat/>
    <w:rsid w:val="00153E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36">
    <w:name w:val="xl36"/>
    <w:basedOn w:val="a"/>
    <w:qFormat/>
    <w:rsid w:val="00153E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paragraph" w:customStyle="1" w:styleId="xl37">
    <w:name w:val="xl37"/>
    <w:basedOn w:val="a"/>
    <w:qFormat/>
    <w:rsid w:val="00153ED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8">
    <w:name w:val="xl38"/>
    <w:basedOn w:val="a"/>
    <w:qFormat/>
    <w:rsid w:val="00153ED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9">
    <w:name w:val="xl39"/>
    <w:basedOn w:val="a"/>
    <w:qFormat/>
    <w:rsid w:val="00153ED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40">
    <w:name w:val="xl40"/>
    <w:basedOn w:val="a"/>
    <w:qFormat/>
    <w:rsid w:val="00153EDA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kern w:val="0"/>
      <w:szCs w:val="21"/>
    </w:rPr>
  </w:style>
  <w:style w:type="paragraph" w:customStyle="1" w:styleId="xl41">
    <w:name w:val="xl41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42">
    <w:name w:val="xl42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Cs w:val="21"/>
    </w:rPr>
  </w:style>
  <w:style w:type="paragraph" w:customStyle="1" w:styleId="xl43">
    <w:name w:val="xl43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Cs w:val="21"/>
    </w:rPr>
  </w:style>
  <w:style w:type="paragraph" w:customStyle="1" w:styleId="xl44">
    <w:name w:val="xl44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 w:val="24"/>
    </w:rPr>
  </w:style>
  <w:style w:type="paragraph" w:customStyle="1" w:styleId="xl45">
    <w:name w:val="xl45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 w:val="18"/>
      <w:szCs w:val="18"/>
    </w:rPr>
  </w:style>
  <w:style w:type="paragraph" w:customStyle="1" w:styleId="xl46">
    <w:name w:val="xl46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xl47">
    <w:name w:val="xl47"/>
    <w:basedOn w:val="a"/>
    <w:qFormat/>
    <w:rsid w:val="00153ED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48">
    <w:name w:val="xl48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49">
    <w:name w:val="xl49"/>
    <w:basedOn w:val="a"/>
    <w:qFormat/>
    <w:rsid w:val="00153E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 w:val="20"/>
      <w:szCs w:val="20"/>
    </w:rPr>
  </w:style>
  <w:style w:type="paragraph" w:customStyle="1" w:styleId="xl50">
    <w:name w:val="xl50"/>
    <w:basedOn w:val="a"/>
    <w:qFormat/>
    <w:rsid w:val="00153ED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xl51">
    <w:name w:val="xl51"/>
    <w:basedOn w:val="a"/>
    <w:qFormat/>
    <w:rsid w:val="00153ED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52">
    <w:name w:val="xl52"/>
    <w:basedOn w:val="a"/>
    <w:qFormat/>
    <w:rsid w:val="00153ED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53">
    <w:name w:val="xl53"/>
    <w:basedOn w:val="a"/>
    <w:qFormat/>
    <w:rsid w:val="00153ED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kern w:val="0"/>
      <w:sz w:val="20"/>
      <w:szCs w:val="20"/>
    </w:rPr>
  </w:style>
  <w:style w:type="paragraph" w:customStyle="1" w:styleId="xl54">
    <w:name w:val="xl54"/>
    <w:basedOn w:val="a"/>
    <w:qFormat/>
    <w:rsid w:val="00153EDA"/>
    <w:pPr>
      <w:widowControl/>
      <w:spacing w:before="100" w:beforeAutospacing="1" w:after="100" w:afterAutospacing="1"/>
      <w:textAlignment w:val="top"/>
    </w:pPr>
    <w:rPr>
      <w:rFonts w:ascii="宋体" w:hAnsi="宋体"/>
      <w:kern w:val="0"/>
      <w:szCs w:val="21"/>
    </w:rPr>
  </w:style>
  <w:style w:type="paragraph" w:customStyle="1" w:styleId="1">
    <w:name w:val="列出段落1"/>
    <w:basedOn w:val="a"/>
    <w:uiPriority w:val="34"/>
    <w:qFormat/>
    <w:rsid w:val="00153EDA"/>
    <w:pPr>
      <w:ind w:firstLineChars="200" w:firstLine="420"/>
    </w:pPr>
  </w:style>
  <w:style w:type="character" w:customStyle="1" w:styleId="font21">
    <w:name w:val="font21"/>
    <w:basedOn w:val="a0"/>
    <w:qFormat/>
    <w:rsid w:val="00153EDA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sid w:val="00153EDA"/>
    <w:rPr>
      <w:rFonts w:ascii="宋体" w:eastAsia="宋体" w:hAnsi="宋体" w:cs="宋体" w:hint="eastAsia"/>
      <w:color w:val="000000"/>
      <w:sz w:val="21"/>
      <w:szCs w:val="21"/>
      <w:u w:val="none"/>
      <w:vertAlign w:val="superscript"/>
    </w:rPr>
  </w:style>
  <w:style w:type="character" w:customStyle="1" w:styleId="font11">
    <w:name w:val="font11"/>
    <w:basedOn w:val="a0"/>
    <w:qFormat/>
    <w:rsid w:val="00153EDA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sid w:val="00153EDA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sid w:val="00153EDA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sid w:val="00153EDA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">
    <w:name w:val="页脚 Char"/>
    <w:basedOn w:val="a0"/>
    <w:link w:val="a5"/>
    <w:uiPriority w:val="99"/>
    <w:qFormat/>
    <w:rsid w:val="00153EDA"/>
    <w:rPr>
      <w:kern w:val="2"/>
      <w:sz w:val="18"/>
      <w:szCs w:val="18"/>
    </w:rPr>
  </w:style>
  <w:style w:type="paragraph" w:styleId="a8">
    <w:name w:val="Balloon Text"/>
    <w:basedOn w:val="a"/>
    <w:link w:val="Char0"/>
    <w:semiHidden/>
    <w:unhideWhenUsed/>
    <w:rsid w:val="00A14E5F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A14E5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3304775-7C71-4D20-BF85-95F021C342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887</Words>
  <Characters>5058</Characters>
  <Application>Microsoft Office Word</Application>
  <DocSecurity>0</DocSecurity>
  <Lines>42</Lines>
  <Paragraphs>11</Paragraphs>
  <ScaleCrop>false</ScaleCrop>
  <Company>sgdw</Company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总体设计要求</dc:title>
  <dc:creator>jsb</dc:creator>
  <cp:lastModifiedBy>王明明(wangmingming)</cp:lastModifiedBy>
  <cp:revision>17</cp:revision>
  <cp:lastPrinted>2005-06-30T03:21:00Z</cp:lastPrinted>
  <dcterms:created xsi:type="dcterms:W3CDTF">2016-03-01T07:33:00Z</dcterms:created>
  <dcterms:modified xsi:type="dcterms:W3CDTF">2020-07-19T01:22:00Z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