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firstLine="2160" w:firstLineChars="300"/>
        <w:jc w:val="both"/>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2"/>
        <w:keepNext w:val="0"/>
        <w:keepLines w:val="0"/>
        <w:widowControl/>
        <w:suppressLineNumbers w:val="0"/>
        <w:spacing w:before="0" w:beforeAutospacing="1" w:after="0" w:afterAutospacing="1"/>
        <w:ind w:left="2880" w:hanging="2880" w:hangingChars="800"/>
        <w:jc w:val="both"/>
        <w:rPr>
          <w:rFonts w:ascii="宋体" w:hAnsi="宋体" w:eastAsia="宋体" w:cs="宋体"/>
          <w:bCs/>
          <w:kern w:val="0"/>
          <w:sz w:val="36"/>
          <w:szCs w:val="24"/>
        </w:rPr>
      </w:pPr>
      <w:r>
        <w:rPr>
          <w:rFonts w:ascii="宋体" w:hAnsi="宋体" w:eastAsia="宋体" w:cs="宋体"/>
          <w:bCs/>
          <w:kern w:val="0"/>
          <w:sz w:val="36"/>
          <w:szCs w:val="24"/>
        </w:rPr>
        <w:t>项目名称</w:t>
      </w:r>
      <w:r>
        <w:rPr>
          <w:rFonts w:ascii="宋体" w:hAnsi="宋体" w:eastAsia="宋体" w:cs="宋体"/>
          <w:bCs/>
          <w:kern w:val="0"/>
          <w:sz w:val="36"/>
          <w:szCs w:val="36"/>
        </w:rPr>
        <w:t>：</w:t>
      </w:r>
      <w:r>
        <w:rPr>
          <w:rFonts w:hint="eastAsia" w:ascii="宋体" w:hAnsi="宋体" w:eastAsia="宋体" w:cs="宋体"/>
          <w:bCs/>
          <w:kern w:val="0"/>
          <w:sz w:val="36"/>
          <w:szCs w:val="24"/>
          <w:lang w:eastAsia="zh-CN"/>
        </w:rPr>
        <w:t>建宁县</w:t>
      </w:r>
      <w:r>
        <w:rPr>
          <w:rFonts w:hint="eastAsia" w:cs="宋体"/>
          <w:bCs/>
          <w:kern w:val="0"/>
          <w:sz w:val="36"/>
          <w:szCs w:val="24"/>
          <w:lang w:eastAsia="zh-CN"/>
        </w:rPr>
        <w:t>伊家</w:t>
      </w:r>
      <w:r>
        <w:rPr>
          <w:rFonts w:hint="eastAsia" w:ascii="宋体" w:hAnsi="宋体" w:eastAsia="宋体" w:cs="宋体"/>
          <w:bCs/>
          <w:kern w:val="0"/>
          <w:sz w:val="36"/>
          <w:szCs w:val="24"/>
          <w:lang w:eastAsia="zh-CN"/>
        </w:rPr>
        <w:t>中心小学多功能室音频设备项目货物类采购</w:t>
      </w:r>
      <w:r>
        <w:rPr>
          <w:rFonts w:hint="eastAsia" w:ascii="宋体" w:hAnsi="宋体" w:eastAsia="宋体" w:cs="宋体"/>
          <w:bCs/>
          <w:kern w:val="0"/>
          <w:sz w:val="36"/>
          <w:szCs w:val="24"/>
        </w:rPr>
        <w:t>项目</w:t>
      </w:r>
    </w:p>
    <w:p>
      <w:pPr>
        <w:widowControl/>
        <w:shd w:val="clear" w:color="auto" w:fill="FFFFFF"/>
        <w:spacing w:line="360" w:lineRule="auto"/>
        <w:jc w:val="center"/>
        <w:rPr>
          <w:rFonts w:hint="eastAsia" w:ascii="宋体" w:hAnsi="宋体" w:eastAsia="宋体" w:cs="宋体"/>
          <w:kern w:val="0"/>
          <w:sz w:val="36"/>
          <w:szCs w:val="24"/>
          <w:lang w:val="en-US" w:eastAsia="zh-CN"/>
        </w:rPr>
      </w:pP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br w:type="textWrapping"/>
      </w:r>
      <w:r>
        <w:rPr>
          <w:rFonts w:ascii="宋体" w:hAnsi="宋体" w:eastAsia="宋体" w:cs="宋体"/>
          <w:bCs/>
          <w:kern w:val="0"/>
          <w:sz w:val="36"/>
          <w:szCs w:val="24"/>
        </w:rPr>
        <w:br w:type="textWrapping"/>
      </w:r>
      <w:r>
        <w:rPr>
          <w:rFonts w:ascii="宋体" w:hAnsi="宋体" w:eastAsia="宋体" w:cs="宋体"/>
          <w:bCs/>
          <w:kern w:val="0"/>
          <w:sz w:val="36"/>
          <w:szCs w:val="24"/>
        </w:rPr>
        <w:br w:type="textWrapping"/>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br w:type="textWrapping"/>
      </w: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center"/>
        <w:rPr>
          <w:rFonts w:hint="default" w:ascii="宋体" w:hAnsi="宋体" w:eastAsia="宋体" w:cs="宋体"/>
          <w:kern w:val="0"/>
          <w:sz w:val="24"/>
          <w:szCs w:val="24"/>
          <w:lang w:val="en-US"/>
        </w:rPr>
      </w:pPr>
      <w:r>
        <w:rPr>
          <w:rFonts w:ascii="宋体" w:hAnsi="宋体" w:eastAsia="宋体" w:cs="宋体"/>
          <w:bCs/>
          <w:kern w:val="0"/>
          <w:sz w:val="36"/>
          <w:szCs w:val="24"/>
        </w:rPr>
        <w:t>项目编号：</w:t>
      </w:r>
      <w:r>
        <w:rPr>
          <w:rFonts w:hint="eastAsia" w:ascii="宋体" w:hAnsi="宋体" w:eastAsia="宋体" w:cs="宋体"/>
          <w:bCs/>
          <w:kern w:val="0"/>
          <w:sz w:val="36"/>
          <w:szCs w:val="24"/>
          <w:lang w:val="en-US" w:eastAsia="zh-CN"/>
        </w:rPr>
        <w:t>JNGDWL20200228</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360" w:firstLineChars="100"/>
        <w:jc w:val="both"/>
        <w:rPr>
          <w:rFonts w:ascii="宋体" w:hAnsi="宋体" w:eastAsia="宋体"/>
          <w:sz w:val="36"/>
          <w:szCs w:val="24"/>
        </w:rPr>
      </w:pPr>
      <w:r>
        <w:rPr>
          <w:rFonts w:hint="eastAsia" w:ascii="宋体" w:hAnsi="宋体" w:eastAsia="宋体"/>
          <w:sz w:val="36"/>
          <w:szCs w:val="24"/>
        </w:rPr>
        <w:t>福建广电网络集团股份有限公司三明分公司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02</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9"/>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_Toc20385 </w:instrText>
          </w:r>
          <w:r>
            <w:rPr>
              <w:rFonts w:ascii="宋体" w:hAnsi="宋体" w:eastAsia="宋体"/>
            </w:rPr>
            <w:fldChar w:fldCharType="separate"/>
          </w:r>
          <w:r>
            <w:t>第一章</w:t>
          </w:r>
          <w:r>
            <w:rPr>
              <w:rFonts w:hint="eastAsia"/>
            </w:rPr>
            <w:t xml:space="preserve"> </w:t>
          </w:r>
          <w:r>
            <w:t>询价邀请/询价邀请书</w:t>
          </w:r>
          <w:r>
            <w:tab/>
          </w:r>
          <w:r>
            <w:fldChar w:fldCharType="begin"/>
          </w:r>
          <w:r>
            <w:instrText xml:space="preserve"> PAGEREF _Toc20385 </w:instrText>
          </w:r>
          <w:r>
            <w:fldChar w:fldCharType="separate"/>
          </w:r>
          <w:r>
            <w:t>1</w:t>
          </w:r>
          <w:r>
            <w:fldChar w:fldCharType="end"/>
          </w:r>
          <w:r>
            <w:rPr>
              <w:rFonts w:ascii="宋体" w:hAnsi="宋体" w:eastAsia="宋体"/>
            </w:rPr>
            <w:fldChar w:fldCharType="end"/>
          </w:r>
        </w:p>
        <w:p>
          <w:pPr>
            <w:pStyle w:val="9"/>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_Toc18755 </w:instrText>
          </w:r>
          <w:r>
            <w:rPr>
              <w:rFonts w:ascii="宋体" w:hAnsi="宋体" w:eastAsia="宋体"/>
              <w:bCs/>
              <w:lang w:val="zh-CN"/>
            </w:rPr>
            <w:fldChar w:fldCharType="separate"/>
          </w:r>
          <w:r>
            <w:t>第二章</w:t>
          </w:r>
          <w:r>
            <w:rPr>
              <w:rFonts w:hint="eastAsia"/>
            </w:rPr>
            <w:t xml:space="preserve"> </w:t>
          </w:r>
          <w:r>
            <w:t>询价须知</w:t>
          </w:r>
          <w:r>
            <w:tab/>
          </w:r>
          <w:r>
            <w:fldChar w:fldCharType="begin"/>
          </w:r>
          <w:r>
            <w:instrText xml:space="preserve"> PAGEREF _Toc18755 </w:instrText>
          </w:r>
          <w:r>
            <w:fldChar w:fldCharType="separate"/>
          </w:r>
          <w:r>
            <w:t>2</w:t>
          </w:r>
          <w:r>
            <w:fldChar w:fldCharType="end"/>
          </w:r>
          <w:r>
            <w:rPr>
              <w:rFonts w:ascii="宋体" w:hAnsi="宋体" w:eastAsia="宋体"/>
              <w:bCs/>
              <w:lang w:val="zh-CN"/>
            </w:rPr>
            <w:fldChar w:fldCharType="end"/>
          </w:r>
        </w:p>
        <w:p>
          <w:pPr>
            <w:pStyle w:val="9"/>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_Toc5563 </w:instrText>
          </w:r>
          <w:r>
            <w:rPr>
              <w:rFonts w:ascii="宋体" w:hAnsi="宋体" w:eastAsia="宋体"/>
              <w:bCs/>
              <w:lang w:val="zh-CN"/>
            </w:rPr>
            <w:fldChar w:fldCharType="separate"/>
          </w:r>
          <w:r>
            <w:t>第</w:t>
          </w:r>
          <w:r>
            <w:rPr>
              <w:rFonts w:hint="eastAsia"/>
            </w:rPr>
            <w:t>三</w:t>
          </w:r>
          <w:r>
            <w:t>章</w:t>
          </w:r>
          <w:r>
            <w:rPr>
              <w:rFonts w:hint="eastAsia"/>
            </w:rPr>
            <w:t xml:space="preserve"> </w:t>
          </w:r>
          <w:r>
            <w:t>询价内容及要求</w:t>
          </w:r>
          <w:r>
            <w:tab/>
          </w:r>
          <w:r>
            <w:fldChar w:fldCharType="begin"/>
          </w:r>
          <w:r>
            <w:instrText xml:space="preserve"> PAGEREF _Toc5563 </w:instrText>
          </w:r>
          <w:r>
            <w:fldChar w:fldCharType="separate"/>
          </w:r>
          <w:r>
            <w:t>3</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_Toc17068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_Toc17068 </w:instrText>
          </w:r>
          <w:r>
            <w:fldChar w:fldCharType="separate"/>
          </w:r>
          <w:r>
            <w:t>3</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_Toc2428 </w:instrText>
          </w:r>
          <w:r>
            <w:rPr>
              <w:rFonts w:ascii="宋体" w:hAnsi="宋体" w:eastAsia="宋体"/>
              <w:bCs/>
              <w:lang w:val="zh-CN"/>
            </w:rPr>
            <w:fldChar w:fldCharType="separate"/>
          </w:r>
          <w:r>
            <w:t>二、技术要求（以下内容不允许负偏离）</w:t>
          </w:r>
          <w:r>
            <w:tab/>
          </w:r>
          <w:r>
            <w:fldChar w:fldCharType="begin"/>
          </w:r>
          <w:r>
            <w:instrText xml:space="preserve"> PAGEREF _Toc2428 </w:instrText>
          </w:r>
          <w:r>
            <w:fldChar w:fldCharType="separate"/>
          </w:r>
          <w:r>
            <w:t>3</w:t>
          </w:r>
          <w:r>
            <w:fldChar w:fldCharType="end"/>
          </w:r>
          <w:r>
            <w:rPr>
              <w:rFonts w:ascii="宋体" w:hAnsi="宋体" w:eastAsia="宋体"/>
              <w:bCs/>
              <w:lang w:val="zh-CN"/>
            </w:rPr>
            <w:fldChar w:fldCharType="end"/>
          </w:r>
        </w:p>
        <w:p>
          <w:pPr>
            <w:pStyle w:val="9"/>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_Toc32273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_Toc32273 </w:instrText>
          </w:r>
          <w:r>
            <w:fldChar w:fldCharType="separate"/>
          </w:r>
          <w:r>
            <w:t>15</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_Toc28532 </w:instrText>
          </w:r>
          <w:r>
            <w:rPr>
              <w:rFonts w:ascii="宋体" w:hAnsi="宋体" w:eastAsia="宋体"/>
              <w:bCs/>
              <w:lang w:val="zh-CN"/>
            </w:rPr>
            <w:fldChar w:fldCharType="separate"/>
          </w:r>
          <w:r>
            <w:rPr>
              <w:rFonts w:cs="Calibri"/>
            </w:rPr>
            <w:t>一</w:t>
          </w:r>
          <w:r>
            <w:t>、投标函</w:t>
          </w:r>
          <w:r>
            <w:tab/>
          </w:r>
          <w:r>
            <w:fldChar w:fldCharType="begin"/>
          </w:r>
          <w:r>
            <w:instrText xml:space="preserve"> PAGEREF _Toc28532 </w:instrText>
          </w:r>
          <w:r>
            <w:fldChar w:fldCharType="separate"/>
          </w:r>
          <w:r>
            <w:t>18</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_Toc28501 </w:instrText>
          </w:r>
          <w:r>
            <w:rPr>
              <w:rFonts w:ascii="宋体" w:hAnsi="宋体" w:eastAsia="宋体"/>
              <w:bCs/>
              <w:lang w:val="zh-CN"/>
            </w:rPr>
            <w:fldChar w:fldCharType="separate"/>
          </w:r>
          <w:r>
            <w:rPr>
              <w:rFonts w:hint="eastAsia"/>
            </w:rPr>
            <w:t>二</w:t>
          </w:r>
          <w:r>
            <w:t>、报价表</w:t>
          </w:r>
          <w:r>
            <w:tab/>
          </w:r>
          <w:r>
            <w:fldChar w:fldCharType="begin"/>
          </w:r>
          <w:r>
            <w:instrText xml:space="preserve"> PAGEREF _Toc28501 </w:instrText>
          </w:r>
          <w:r>
            <w:fldChar w:fldCharType="separate"/>
          </w:r>
          <w:r>
            <w:t>20</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_Toc28480 </w:instrText>
          </w:r>
          <w:r>
            <w:rPr>
              <w:rFonts w:ascii="宋体" w:hAnsi="宋体" w:eastAsia="宋体"/>
              <w:bCs/>
              <w:lang w:val="zh-CN"/>
            </w:rPr>
            <w:fldChar w:fldCharType="separate"/>
          </w:r>
          <w:r>
            <w:rPr>
              <w:rFonts w:hint="eastAsia"/>
            </w:rPr>
            <w:t>三、资格证明文件</w:t>
          </w:r>
          <w:r>
            <w:tab/>
          </w:r>
          <w:r>
            <w:fldChar w:fldCharType="begin"/>
          </w:r>
          <w:r>
            <w:instrText xml:space="preserve"> PAGEREF _Toc28480 </w:instrText>
          </w:r>
          <w:r>
            <w:fldChar w:fldCharType="separate"/>
          </w:r>
          <w:r>
            <w:t>21</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_Toc15812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_Toc15812 </w:instrText>
          </w:r>
          <w:r>
            <w:fldChar w:fldCharType="separate"/>
          </w:r>
          <w:r>
            <w:t>21</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_Toc16538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_Toc16538 </w:instrText>
          </w:r>
          <w:r>
            <w:fldChar w:fldCharType="separate"/>
          </w:r>
          <w:r>
            <w:t>22</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_Toc8545 </w:instrText>
          </w:r>
          <w:r>
            <w:rPr>
              <w:rFonts w:ascii="宋体" w:hAnsi="宋体" w:eastAsia="宋体"/>
              <w:bCs/>
              <w:lang w:val="zh-CN"/>
            </w:rPr>
            <w:fldChar w:fldCharType="separate"/>
          </w:r>
          <w:r>
            <w:rPr>
              <w:rFonts w:hint="eastAsia"/>
            </w:rPr>
            <w:t>四</w:t>
          </w:r>
          <w:r>
            <w:t>、技术要求响应表</w:t>
          </w:r>
          <w:r>
            <w:tab/>
          </w:r>
          <w:r>
            <w:fldChar w:fldCharType="begin"/>
          </w:r>
          <w:r>
            <w:instrText xml:space="preserve"> PAGEREF _Toc8545 </w:instrText>
          </w:r>
          <w:r>
            <w:fldChar w:fldCharType="separate"/>
          </w:r>
          <w:r>
            <w:t>23</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_Toc26082 </w:instrText>
          </w:r>
          <w:r>
            <w:rPr>
              <w:rFonts w:ascii="宋体" w:hAnsi="宋体" w:eastAsia="宋体"/>
              <w:bCs/>
              <w:lang w:val="zh-CN"/>
            </w:rPr>
            <w:fldChar w:fldCharType="separate"/>
          </w:r>
          <w:r>
            <w:rPr>
              <w:rFonts w:hint="eastAsia"/>
            </w:rPr>
            <w:t>五</w:t>
          </w:r>
          <w:r>
            <w:t>、商务条件响应表</w:t>
          </w:r>
          <w:r>
            <w:tab/>
          </w:r>
          <w:r>
            <w:fldChar w:fldCharType="begin"/>
          </w:r>
          <w:r>
            <w:instrText xml:space="preserve"> PAGEREF _Toc26082 </w:instrText>
          </w:r>
          <w:r>
            <w:fldChar w:fldCharType="separate"/>
          </w:r>
          <w:r>
            <w:t>24</w:t>
          </w:r>
          <w:r>
            <w:fldChar w:fldCharType="end"/>
          </w:r>
          <w:r>
            <w:rPr>
              <w:rFonts w:ascii="宋体" w:hAnsi="宋体" w:eastAsia="宋体"/>
              <w:bCs/>
              <w:lang w:val="zh-CN"/>
            </w:rPr>
            <w:fldChar w:fldCharType="end"/>
          </w:r>
        </w:p>
        <w:p>
          <w:pPr>
            <w:pStyle w:val="10"/>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_Toc15312 </w:instrText>
          </w:r>
          <w:r>
            <w:rPr>
              <w:rFonts w:ascii="宋体" w:hAnsi="宋体" w:eastAsia="宋体"/>
              <w:bCs/>
              <w:lang w:val="zh-CN"/>
            </w:rPr>
            <w:fldChar w:fldCharType="separate"/>
          </w:r>
          <w:r>
            <w:rPr>
              <w:rFonts w:hint="eastAsia"/>
            </w:rPr>
            <w:t>六</w:t>
          </w:r>
          <w:r>
            <w:t>、</w:t>
          </w:r>
          <w:r>
            <w:rPr>
              <w:rFonts w:hint="eastAsia"/>
            </w:rPr>
            <w:t>售后服务承诺函</w:t>
          </w:r>
          <w:r>
            <w:tab/>
          </w:r>
          <w:r>
            <w:fldChar w:fldCharType="begin"/>
          </w:r>
          <w:r>
            <w:instrText xml:space="preserve"> PAGEREF _Toc15312 </w:instrText>
          </w:r>
          <w:r>
            <w:fldChar w:fldCharType="separate"/>
          </w:r>
          <w:r>
            <w:t>25</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20385"/>
      <w:r>
        <w:t>第一章</w:t>
      </w:r>
      <w:r>
        <w:rPr>
          <w:rFonts w:hint="eastAsia"/>
        </w:rPr>
        <w:t xml:space="preserve"> </w:t>
      </w:r>
      <w:r>
        <w:t>询价邀请/询价邀请书</w:t>
      </w:r>
      <w:bookmarkEnd w:id="0"/>
    </w:p>
    <w:p>
      <w:pPr>
        <w:pStyle w:val="12"/>
        <w:keepNext w:val="0"/>
        <w:keepLines w:val="0"/>
        <w:widowControl/>
        <w:suppressLineNumbers w:val="0"/>
        <w:shd w:val="clear" w:color="auto" w:fill="FFFFFF"/>
        <w:spacing w:before="75" w:beforeAutospacing="0" w:after="75" w:afterAutospacing="0"/>
        <w:ind w:left="0" w:right="0" w:firstLine="0"/>
        <w:rPr>
          <w:rFonts w:ascii="宋体" w:hAnsi="宋体" w:eastAsia="宋体"/>
          <w:sz w:val="24"/>
          <w:szCs w:val="24"/>
        </w:rPr>
      </w:pPr>
      <w:r>
        <w:rPr>
          <w:rFonts w:hint="eastAsia" w:ascii="宋体" w:hAnsi="宋体" w:eastAsia="宋体"/>
          <w:sz w:val="24"/>
          <w:szCs w:val="24"/>
        </w:rPr>
        <w:t>福建广电网络集团股份有限公司三明分公司</w:t>
      </w:r>
      <w:r>
        <w:rPr>
          <w:rFonts w:hint="eastAsia" w:ascii="宋体" w:hAnsi="宋体" w:eastAsia="宋体" w:cs="宋体"/>
          <w:sz w:val="24"/>
          <w:szCs w:val="24"/>
        </w:rPr>
        <w:t>组</w:t>
      </w:r>
      <w:r>
        <w:rPr>
          <w:rFonts w:hint="eastAsia" w:ascii="宋体" w:hAnsi="宋体" w:eastAsia="宋体"/>
          <w:sz w:val="24"/>
          <w:szCs w:val="24"/>
        </w:rPr>
        <w:t>织建宁县</w:t>
      </w:r>
      <w:r>
        <w:rPr>
          <w:rFonts w:hint="eastAsia"/>
          <w:sz w:val="24"/>
          <w:szCs w:val="24"/>
          <w:lang w:eastAsia="zh-CN"/>
        </w:rPr>
        <w:t>伊家</w:t>
      </w:r>
      <w:r>
        <w:rPr>
          <w:rFonts w:hint="eastAsia" w:ascii="宋体" w:hAnsi="宋体" w:eastAsia="宋体"/>
          <w:sz w:val="24"/>
          <w:szCs w:val="24"/>
          <w:lang w:eastAsia="zh-CN"/>
        </w:rPr>
        <w:t>中心小学多功能室音频设备项目货物类采购</w:t>
      </w:r>
      <w:r>
        <w:rPr>
          <w:rFonts w:hint="eastAsia" w:ascii="宋体" w:hAnsi="宋体" w:eastAsia="宋体"/>
          <w:sz w:val="24"/>
          <w:szCs w:val="24"/>
        </w:rPr>
        <w:t>项目标前询价，欢迎合格供应商前来参加。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项目编号：</w:t>
      </w:r>
      <w:r>
        <w:rPr>
          <w:rFonts w:hint="eastAsia" w:ascii="宋体" w:hAnsi="宋体" w:eastAsia="宋体"/>
          <w:sz w:val="24"/>
          <w:szCs w:val="24"/>
          <w:lang w:val="en-US" w:eastAsia="zh-CN"/>
        </w:rPr>
        <w:t>JNGDWL20200228</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299860元</w:t>
      </w:r>
      <w:r>
        <w:rPr>
          <w:rFonts w:hint="eastAsia" w:ascii="宋体" w:hAnsi="宋体" w:eastAsia="宋体"/>
          <w:sz w:val="24"/>
          <w:szCs w:val="24"/>
        </w:rPr>
        <w:t>。</w:t>
      </w:r>
    </w:p>
    <w:p>
      <w:pPr>
        <w:numPr>
          <w:ilvl w:val="0"/>
          <w:numId w:val="0"/>
        </w:numPr>
        <w:spacing w:line="360" w:lineRule="auto"/>
        <w:ind w:firstLine="480" w:firstLineChars="200"/>
        <w:jc w:val="left"/>
        <w:rPr>
          <w:rFonts w:ascii="宋体" w:hAnsi="宋体" w:eastAsia="宋体"/>
          <w:sz w:val="24"/>
          <w:szCs w:val="24"/>
        </w:rPr>
      </w:pPr>
      <w:r>
        <w:rPr>
          <w:rFonts w:ascii="宋体" w:hAnsi="宋体" w:eastAsia="宋体"/>
          <w:sz w:val="24"/>
          <w:szCs w:val="24"/>
        </w:rPr>
        <w:t>3、询价内容及技术商务依据</w:t>
      </w:r>
      <w:r>
        <w:rPr>
          <w:rFonts w:hint="eastAsia" w:ascii="宋体" w:hAnsi="宋体" w:eastAsia="宋体" w:cs="宋体"/>
          <w:sz w:val="24"/>
          <w:szCs w:val="24"/>
        </w:rPr>
        <w:t>三明天和工程管理有限公司</w:t>
      </w:r>
      <w:r>
        <w:rPr>
          <w:rFonts w:ascii="宋体" w:hAnsi="宋体" w:eastAsia="宋体"/>
          <w:sz w:val="24"/>
          <w:szCs w:val="24"/>
        </w:rPr>
        <w:t>编号为：</w:t>
      </w:r>
      <w:r>
        <w:rPr>
          <w:rFonts w:hint="eastAsia" w:ascii="宋体" w:hAnsi="宋体" w:eastAsia="宋体"/>
          <w:sz w:val="24"/>
          <w:szCs w:val="24"/>
          <w:lang w:val="en-US" w:eastAsia="zh-CN"/>
        </w:rPr>
        <w:t>[350430]TH[XJ]2020006</w:t>
      </w:r>
      <w:r>
        <w:rPr>
          <w:rFonts w:ascii="宋体" w:hAnsi="宋体" w:eastAsia="宋体"/>
          <w:sz w:val="24"/>
          <w:szCs w:val="24"/>
        </w:rPr>
        <w:t>项目要求</w:t>
      </w:r>
      <w:r>
        <w:rPr>
          <w:rFonts w:hint="eastAsia" w:ascii="宋体" w:hAnsi="宋体" w:eastAsia="宋体"/>
          <w:sz w:val="24"/>
          <w:szCs w:val="24"/>
        </w:rPr>
        <w:t>。</w:t>
      </w:r>
    </w:p>
    <w:p>
      <w:pPr>
        <w:pStyle w:val="12"/>
        <w:snapToGrid w:val="0"/>
        <w:spacing w:line="360" w:lineRule="auto"/>
        <w:contextualSpacing/>
      </w:pPr>
      <w:r>
        <w:rPr>
          <w:rFonts w:hint="eastAsia"/>
        </w:rPr>
        <w:t>二、供应商资格要求</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ind w:firstLine="1928" w:firstLineChars="400"/>
      </w:pPr>
      <w:bookmarkStart w:id="1" w:name="_Toc18755"/>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3"/>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r>
              <w:rPr>
                <w:rFonts w:ascii="宋体" w:hAnsi="宋体" w:eastAsia="宋体" w:cs="宋体"/>
                <w:kern w:val="0"/>
                <w:sz w:val="24"/>
                <w:szCs w:val="24"/>
              </w:rPr>
              <w:t>包</w:t>
            </w:r>
            <w:r>
              <w:rPr>
                <w:rFonts w:hint="eastAsia" w:ascii="宋体" w:hAnsi="宋体" w:eastAsia="宋体" w:cs="宋体"/>
                <w:kern w:val="0"/>
                <w:sz w:val="24"/>
                <w:szCs w:val="24"/>
              </w:rPr>
              <w:t>2</w:t>
            </w:r>
            <w:r>
              <w:rPr>
                <w:rFonts w:ascii="宋体" w:hAnsi="宋体" w:eastAsia="宋体" w:cs="宋体"/>
                <w:kern w:val="0"/>
                <w:sz w:val="24"/>
                <w:szCs w:val="24"/>
              </w:rPr>
              <w:t>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tbl>
            <w:tblPr>
              <w:tblStyle w:val="13"/>
              <w:tblW w:w="5000" w:type="pct"/>
              <w:tblCellSpacing w:w="0" w:type="dxa"/>
              <w:tblInd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最终验收合格后7个工作日内付合同总价的90%（首付款前卖方开具合同等额发票）；在没有出现产品质量或售后服务问题一年后无息付清余款（合同总价的10%）。</w:t>
                  </w:r>
                </w:p>
              </w:tc>
            </w:tr>
          </w:tbl>
          <w:p>
            <w:pPr>
              <w:widowControl/>
              <w:spacing w:line="360" w:lineRule="auto"/>
              <w:ind w:firstLine="480" w:firstLineChars="200"/>
              <w:jc w:val="left"/>
              <w:rPr>
                <w:rFonts w:hint="default" w:ascii="宋体" w:hAnsi="宋体" w:eastAsia="宋体" w:cs="宋体"/>
                <w:kern w:val="0"/>
                <w:sz w:val="24"/>
                <w:szCs w:val="24"/>
                <w:lang w:val="en-US" w:eastAsia="zh-CN"/>
              </w:rPr>
            </w:pPr>
            <w:r>
              <w:rPr>
                <w:rFonts w:ascii="宋体" w:hAnsi="宋体" w:eastAsia="宋体" w:cs="宋体"/>
                <w:kern w:val="0"/>
                <w:sz w:val="24"/>
                <w:szCs w:val="24"/>
                <w:lang w:val="en-US" w:eastAsia="zh-CN" w:bidi="ar"/>
              </w:rPr>
              <w:t>。</w:t>
            </w:r>
          </w:p>
        </w:tc>
      </w:tr>
    </w:tbl>
    <w:p>
      <w:pPr>
        <w:pStyle w:val="2"/>
      </w:pPr>
      <w:bookmarkStart w:id="2" w:name="_Toc5563"/>
    </w:p>
    <w:p>
      <w:pPr>
        <w:pStyle w:val="2"/>
      </w:pPr>
      <w:r>
        <w:br w:type="textWrapping"/>
      </w:r>
      <w:r>
        <w:br w:type="textWrapping"/>
      </w:r>
      <w:r>
        <w:br w:type="textWrapping"/>
      </w:r>
      <w:r>
        <w:br w:type="textWrapping"/>
      </w:r>
      <w:r>
        <w:br w:type="textWrapping"/>
      </w:r>
      <w:r>
        <w:br w:type="textWrapping"/>
      </w:r>
      <w:r>
        <w:br w:type="textWrapping"/>
      </w:r>
      <w:r>
        <w:br w:type="textWrapping"/>
      </w:r>
      <w:r>
        <w:br w:type="textWrapping"/>
      </w:r>
    </w:p>
    <w:p>
      <w:pPr>
        <w:pStyle w:val="2"/>
      </w:pPr>
      <w:r>
        <w:br w:type="textWrapping"/>
      </w:r>
      <w:r>
        <w:br w:type="textWrapping"/>
      </w:r>
      <w:r>
        <w:br w:type="textWrapping"/>
      </w:r>
      <w:r>
        <w:br w:type="textWrapping"/>
      </w:r>
    </w:p>
    <w:p>
      <w:pPr>
        <w:pStyle w:val="2"/>
        <w:ind w:firstLine="1928" w:firstLineChars="400"/>
      </w:pPr>
      <w:r>
        <w:t>第</w:t>
      </w:r>
      <w:r>
        <w:rPr>
          <w:rFonts w:hint="eastAsia"/>
        </w:rPr>
        <w:t>三</w:t>
      </w:r>
      <w:r>
        <w:t>章</w:t>
      </w:r>
      <w:r>
        <w:rPr>
          <w:rFonts w:hint="eastAsia"/>
        </w:rPr>
        <w:t xml:space="preserve"> </w:t>
      </w:r>
      <w:r>
        <w:t>询价内容及要求</w:t>
      </w:r>
      <w:bookmarkEnd w:id="2"/>
    </w:p>
    <w:p>
      <w:pPr>
        <w:pStyle w:val="3"/>
      </w:pPr>
      <w:bookmarkStart w:id="3" w:name="_Toc17068"/>
      <w:r>
        <w:t>一、采购标的</w:t>
      </w:r>
      <w:r>
        <w:rPr>
          <w:rFonts w:hint="eastAsia"/>
        </w:rPr>
        <w:t>一览表</w:t>
      </w:r>
      <w:bookmarkEnd w:id="3"/>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3"/>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9"/>
              <w:gridCol w:w="1838"/>
              <w:gridCol w:w="920"/>
              <w:gridCol w:w="920"/>
              <w:gridCol w:w="92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其他计算机设备</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329800</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329800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6500</w:t>
            </w:r>
          </w:p>
        </w:tc>
      </w:tr>
    </w:tbl>
    <w:p>
      <w:pPr>
        <w:pStyle w:val="3"/>
      </w:pPr>
    </w:p>
    <w:p>
      <w:pPr>
        <w:pStyle w:val="3"/>
      </w:pPr>
      <w:bookmarkStart w:id="4" w:name="_Toc2428"/>
      <w:r>
        <w:t>二、技术要求（以下内容不允许负偏离）</w:t>
      </w:r>
      <w:bookmarkEnd w:id="4"/>
    </w:p>
    <w:p>
      <w:pPr>
        <w:pStyle w:val="12"/>
        <w:keepNext w:val="0"/>
        <w:keepLines w:val="0"/>
        <w:widowControl/>
        <w:suppressLineNumbers w:val="0"/>
      </w:pPr>
      <w:r>
        <w:rPr>
          <w:rFonts w:hint="eastAsia" w:cs="宋体"/>
          <w:sz w:val="24"/>
          <w:szCs w:val="24"/>
          <w:lang w:val="en-US" w:eastAsia="zh-CN"/>
        </w:rPr>
        <w:t>2-1</w:t>
      </w:r>
      <w:r>
        <w:rPr>
          <w:rFonts w:hint="eastAsia" w:ascii="宋体" w:hAnsi="宋体" w:eastAsia="宋体" w:cs="宋体"/>
          <w:sz w:val="24"/>
          <w:szCs w:val="24"/>
        </w:rPr>
        <w:t>、（根据本项目实际情况，填写“采购标的”或“项目概况”）</w:t>
      </w:r>
    </w:p>
    <w:tbl>
      <w:tblPr>
        <w:tblStyle w:val="13"/>
        <w:tblW w:w="13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0"/>
        <w:gridCol w:w="1890"/>
        <w:gridCol w:w="690"/>
        <w:gridCol w:w="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1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序号</w:t>
            </w:r>
          </w:p>
        </w:tc>
        <w:tc>
          <w:tcPr>
            <w:tcW w:w="8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产 品 名 称</w:t>
            </w:r>
          </w:p>
        </w:tc>
        <w:tc>
          <w:tcPr>
            <w:tcW w:w="2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数量</w:t>
            </w:r>
          </w:p>
        </w:tc>
        <w:tc>
          <w:tcPr>
            <w:tcW w:w="2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150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left"/>
            </w:pPr>
            <w:r>
              <w:rPr>
                <w:rStyle w:val="16"/>
                <w:rFonts w:hint="eastAsia" w:ascii="宋体" w:hAnsi="宋体" w:eastAsia="宋体" w:cs="宋体"/>
                <w:b/>
                <w:sz w:val="24"/>
                <w:szCs w:val="24"/>
              </w:rPr>
              <w:t>一、音频部分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全频音箱（单10寸全频）</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4</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两通道功放</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数字前级处理器</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电源时序器</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数字无线会议控制系统主机</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数字无线会议主席单元</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7</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数字无线会议代表单元</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4</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U段红外对频拖二会议</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9</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设备机柜</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辅材</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150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left"/>
            </w:pPr>
            <w:r>
              <w:rPr>
                <w:rStyle w:val="16"/>
                <w:rFonts w:hint="eastAsia" w:ascii="宋体" w:hAnsi="宋体" w:eastAsia="宋体" w:cs="宋体"/>
                <w:b/>
                <w:color w:val="000000"/>
                <w:sz w:val="24"/>
                <w:szCs w:val="24"/>
              </w:rPr>
              <w:t>二、视频部分（全彩P2.5LED显示屏）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LED显示屏(5.44*2.72)</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14.8</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视频处理器</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发送卡</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接收卡</w:t>
            </w:r>
          </w:p>
        </w:tc>
        <w:tc>
          <w:tcPr>
            <w:tcW w:w="2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40</w:t>
            </w:r>
          </w:p>
        </w:tc>
        <w:tc>
          <w:tcPr>
            <w:tcW w:w="2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控制主机</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6</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LED播放软件</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7</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智能配电柜</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配套框架结构</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15.6</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9</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综合布线及安装调试</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150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Style w:val="16"/>
                <w:rFonts w:hint="eastAsia" w:ascii="宋体" w:hAnsi="宋体" w:eastAsia="宋体" w:cs="宋体"/>
                <w:b/>
                <w:sz w:val="24"/>
                <w:szCs w:val="24"/>
              </w:rPr>
              <w:t>三、装修部分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轻钢龙骨吊顶铝扣板</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175</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木作墙面吸音棉、吸音板</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LED格栅灯</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45</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中央空调</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150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Style w:val="16"/>
                <w:rFonts w:hint="eastAsia" w:ascii="宋体" w:hAnsi="宋体" w:eastAsia="宋体" w:cs="宋体"/>
                <w:b/>
                <w:sz w:val="24"/>
                <w:szCs w:val="24"/>
              </w:rPr>
              <w:t>四、校园广播系统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数码编程控制主机</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前置放大器</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3</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室外防水音柱（60W）</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w:t>
            </w:r>
          </w:p>
        </w:tc>
        <w:tc>
          <w:tcPr>
            <w:tcW w:w="2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4</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纯后级广播功放（500W）</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U段红外对频拖二会议</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6</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UHF天线分配系统</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7</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电源时序器</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8</w:t>
            </w:r>
          </w:p>
        </w:tc>
        <w:tc>
          <w:tcPr>
            <w:tcW w:w="8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4"/>
                <w:szCs w:val="24"/>
              </w:rPr>
              <w:t>综合布线及安装调试</w:t>
            </w:r>
          </w:p>
        </w:tc>
        <w:tc>
          <w:tcPr>
            <w:tcW w:w="2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2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批</w:t>
            </w:r>
          </w:p>
        </w:tc>
      </w:tr>
    </w:tbl>
    <w:p>
      <w:pPr>
        <w:pStyle w:val="12"/>
        <w:keepNext w:val="0"/>
        <w:keepLines w:val="0"/>
        <w:widowControl/>
        <w:suppressLineNumbers w:val="0"/>
        <w:rPr>
          <w:rFonts w:hint="eastAsia" w:cs="宋体"/>
          <w:b/>
          <w:bCs/>
          <w:sz w:val="24"/>
          <w:szCs w:val="24"/>
          <w:lang w:val="en-US" w:eastAsia="zh-CN"/>
        </w:rPr>
      </w:pPr>
      <w:r>
        <w:rPr>
          <w:rFonts w:hint="eastAsia" w:cs="宋体"/>
          <w:b/>
          <w:bCs/>
          <w:sz w:val="24"/>
          <w:szCs w:val="24"/>
          <w:lang w:val="en-US" w:eastAsia="zh-CN"/>
        </w:rPr>
        <w:br w:type="textWrapping"/>
      </w:r>
    </w:p>
    <w:p>
      <w:pPr>
        <w:pStyle w:val="12"/>
        <w:keepNext w:val="0"/>
        <w:keepLines w:val="0"/>
        <w:widowControl/>
        <w:suppressLineNumbers w:val="0"/>
        <w:rPr>
          <w:rStyle w:val="16"/>
          <w:rFonts w:hint="eastAsia" w:ascii="宋体" w:hAnsi="宋体" w:eastAsia="宋体" w:cs="宋体"/>
          <w:b/>
          <w:bCs/>
          <w:sz w:val="24"/>
          <w:szCs w:val="24"/>
        </w:rPr>
      </w:pPr>
      <w:r>
        <w:rPr>
          <w:rFonts w:hint="eastAsia" w:cs="宋体"/>
          <w:b/>
          <w:bCs/>
          <w:sz w:val="24"/>
          <w:szCs w:val="24"/>
          <w:lang w:val="en-US" w:eastAsia="zh-CN"/>
        </w:rPr>
        <w:br w:type="textWrapping"/>
      </w:r>
      <w:r>
        <w:rPr>
          <w:rFonts w:hint="eastAsia" w:cs="宋体"/>
          <w:b/>
          <w:bCs/>
          <w:sz w:val="24"/>
          <w:szCs w:val="24"/>
          <w:lang w:val="en-US" w:eastAsia="zh-CN"/>
        </w:rPr>
        <w:t>2-2</w:t>
      </w:r>
      <w:r>
        <w:rPr>
          <w:rFonts w:hint="eastAsia" w:ascii="宋体" w:hAnsi="宋体" w:eastAsia="宋体" w:cs="宋体"/>
          <w:b/>
          <w:bCs/>
          <w:sz w:val="24"/>
          <w:szCs w:val="24"/>
        </w:rPr>
        <w:t>、技术要求</w:t>
      </w:r>
      <w:r>
        <w:rPr>
          <w:rStyle w:val="16"/>
          <w:rFonts w:hint="eastAsia" w:ascii="宋体" w:hAnsi="宋体" w:eastAsia="宋体" w:cs="宋体"/>
          <w:b/>
          <w:bCs/>
          <w:sz w:val="24"/>
          <w:szCs w:val="24"/>
        </w:rPr>
        <w:t>（以下内容不允许负偏离）</w:t>
      </w:r>
    </w:p>
    <w:p>
      <w:pPr>
        <w:pStyle w:val="12"/>
        <w:keepNext w:val="0"/>
        <w:keepLines w:val="0"/>
        <w:widowControl/>
        <w:suppressLineNumbers w:val="0"/>
        <w:rPr>
          <w:rStyle w:val="16"/>
          <w:rFonts w:hint="eastAsia" w:ascii="宋体" w:hAnsi="宋体" w:eastAsia="宋体" w:cs="宋体"/>
          <w:sz w:val="24"/>
          <w:szCs w:val="24"/>
        </w:rPr>
      </w:pPr>
    </w:p>
    <w:tbl>
      <w:tblPr>
        <w:tblStyle w:val="13"/>
        <w:tblpPr w:leftFromText="180" w:rightFromText="180" w:vertAnchor="text" w:horzAnchor="page" w:tblpX="1774" w:tblpY="575"/>
        <w:tblOverlap w:val="never"/>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0"/>
        <w:gridCol w:w="872"/>
        <w:gridCol w:w="6532"/>
        <w:gridCol w:w="451"/>
        <w:gridCol w:w="3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trPr>
        <w:tc>
          <w:tcPr>
            <w:tcW w:w="3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序号</w:t>
            </w:r>
          </w:p>
        </w:tc>
        <w:tc>
          <w:tcPr>
            <w:tcW w:w="8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产 品名 称</w:t>
            </w:r>
          </w:p>
        </w:tc>
        <w:tc>
          <w:tcPr>
            <w:tcW w:w="65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参数</w:t>
            </w:r>
          </w:p>
        </w:tc>
        <w:tc>
          <w:tcPr>
            <w:tcW w:w="45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数量</w:t>
            </w:r>
          </w:p>
        </w:tc>
        <w:tc>
          <w:tcPr>
            <w:tcW w:w="33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8516" w:type="dxa"/>
            <w:gridSpan w:val="5"/>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jc w:val="left"/>
            </w:pPr>
            <w:r>
              <w:rPr>
                <w:rStyle w:val="16"/>
                <w:rFonts w:hint="eastAsia" w:ascii="宋体" w:hAnsi="宋体" w:eastAsia="宋体" w:cs="宋体"/>
                <w:b/>
                <w:sz w:val="24"/>
                <w:szCs w:val="24"/>
              </w:rPr>
              <w:t>一、音频部分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8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全频音箱</w:t>
            </w:r>
            <w:r>
              <w:rPr>
                <w:rFonts w:hint="eastAsia" w:ascii="宋体" w:hAnsi="宋体" w:eastAsia="宋体" w:cs="宋体"/>
                <w:sz w:val="24"/>
                <w:szCs w:val="24"/>
              </w:rPr>
              <w:br w:type="textWrapping"/>
            </w:r>
            <w:r>
              <w:rPr>
                <w:rFonts w:hint="eastAsia" w:ascii="宋体" w:hAnsi="宋体" w:eastAsia="宋体" w:cs="宋体"/>
                <w:sz w:val="24"/>
                <w:szCs w:val="24"/>
              </w:rPr>
              <w:t>（单10寸全频）</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12"/>
              <w:keepNext w:val="0"/>
              <w:keepLines w:val="0"/>
              <w:widowControl/>
              <w:suppressLineNumbers w:val="0"/>
              <w:spacing w:before="0" w:beforeAutospacing="0" w:after="150" w:afterAutospacing="0" w:line="300" w:lineRule="atLeast"/>
              <w:ind w:left="0" w:right="0"/>
              <w:jc w:val="both"/>
            </w:pPr>
            <w:r>
              <w:rPr>
                <w:rFonts w:hint="eastAsia" w:ascii="宋体" w:hAnsi="宋体" w:eastAsia="宋体" w:cs="宋体"/>
                <w:sz w:val="24"/>
                <w:szCs w:val="24"/>
              </w:rPr>
              <w:t>1. 扬声器类型：两路两分频全频扬声器</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2. 频率响应（-3dB）：38Hz-20KHz</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3. 灵敏度（1.0w/1m）：≥98dB</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4. 最大声压级：≥121dB(连续).127dB（峰值）</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5. 标称阻抗：8 Ω</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6. 额定功率：≥200W</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7. 峰值功率：≥800W</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8. 分频点：1.8KHz</w:t>
            </w:r>
          </w:p>
          <w:p>
            <w:pPr>
              <w:pStyle w:val="12"/>
              <w:keepNext w:val="0"/>
              <w:keepLines w:val="0"/>
              <w:widowControl/>
              <w:suppressLineNumbers w:val="0"/>
              <w:spacing w:before="0" w:beforeAutospacing="0" w:after="150" w:afterAutospacing="0" w:line="300" w:lineRule="atLeast"/>
              <w:ind w:left="0" w:right="0" w:firstLine="0"/>
              <w:jc w:val="both"/>
            </w:pPr>
            <w:r>
              <w:rPr>
                <w:rFonts w:hint="eastAsia" w:ascii="宋体" w:hAnsi="宋体" w:eastAsia="宋体" w:cs="宋体"/>
                <w:sz w:val="24"/>
                <w:szCs w:val="24"/>
              </w:rPr>
              <w:t>9. 低频换能器:≥1×10"（Φ50mm音圈）高频换能器:≥1× 1"（Φ34mm音圈）</w:t>
            </w:r>
          </w:p>
          <w:p>
            <w:pPr>
              <w:pStyle w:val="12"/>
              <w:keepNext w:val="0"/>
              <w:keepLines w:val="0"/>
              <w:widowControl/>
              <w:suppressLineNumbers w:val="0"/>
              <w:spacing w:before="0" w:beforeAutospacing="0" w:after="150" w:afterAutospacing="0" w:line="300" w:lineRule="atLeast"/>
              <w:ind w:left="0" w:right="0"/>
              <w:jc w:val="both"/>
            </w:pPr>
            <w:r>
              <w:rPr>
                <w:rFonts w:hint="eastAsia" w:ascii="宋体" w:hAnsi="宋体" w:eastAsia="宋体" w:cs="宋体"/>
                <w:sz w:val="24"/>
                <w:szCs w:val="24"/>
              </w:rPr>
              <w:t>10.覆盖角度：≥90°(H)×50°(V)</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4</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2</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两通道功放</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.额定输出功率：8Ω立体声350W×2；额定输出功率：≥4Ω立体声≥525W×2</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▲2.信噪比:&gt;105dB；提供国家权威检测机构（依据CNAS标准）出具的此功能检验或检测报告、报告编号在检测机构官网可查询并提供截图和网站链接证明加盖投标人公章。</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3、电源输出：功放后面板内置≥6路220V电源时序输出插座；提供国家权威检测机构（依据CNAS标准）出具的此功能检验或检测报告、报告编号在检测机构官网可查询并提供截图和网站链接证明加盖投标人公章。（原件现场查验）</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4、远程控制：功放后面板具有远程控制端口，可与本项目中音频矩阵处理器及其他设备联动通讯，实现有线和无线远程控制该功放和内置的≥六路电源时序输出开关机；提供国家权威检测机构（依据CNAS标准）出具的此功能检验或检测报告、报告编号在检测机构官网可查询并提供截图和网站链接证明加盖投标人公章。（原件现场查验）</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5、显示屏：功放前面板LCD显示工作温度、日期、时间、工作电压；提供国家权威检测机构（依据CNAS标准）出具的此功能检验或检测报告、报告编号在检测机构官网可查询并提供截图和网站链接证明加盖投标人公章。</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▲6、参数设置：功放前面板具有≥2个日期时间参数设置按钮；提供国家权威检测机构（依据CNAS标准）出具的此功能检验或检测报告、报告编号在检测机构官网可查询并提供截图和网站链接证明加盖投标人公章。</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★7、为了整个系统易管理及操作方便的实用性，所投功放后面板具有至少6路220V电源时序输出插座功能; 功放后面板具有远程控制端口功能；功放前面板LCD显示工作温度、日期、时间、工作电压，同时具有至少2个日期时间参数设置按钮功能，提供实物功能演示视频电子文件。</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3</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数字前级处理器</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1. 信噪比：MIC：≥102dBMUSIC：≥100dB</w:t>
            </w:r>
          </w:p>
          <w:p>
            <w:pPr>
              <w:pStyle w:val="12"/>
              <w:keepNext w:val="0"/>
              <w:keepLines w:val="0"/>
              <w:widowControl/>
              <w:suppressLineNumbers w:val="0"/>
              <w:spacing w:before="0" w:beforeAutospacing="0" w:after="150" w:afterAutospacing="0" w:line="300" w:lineRule="atLeast"/>
              <w:ind w:left="0" w:right="0" w:firstLine="0"/>
              <w:jc w:val="left"/>
            </w:pPr>
            <w:r>
              <w:rPr>
                <w:rFonts w:hint="eastAsia" w:ascii="宋体" w:hAnsi="宋体" w:eastAsia="宋体" w:cs="宋体"/>
                <w:sz w:val="24"/>
                <w:szCs w:val="24"/>
              </w:rPr>
              <w:t>2. 总谐波失真：MIC/MUSIC：＜0.1%</w:t>
            </w:r>
          </w:p>
          <w:p>
            <w:pPr>
              <w:pStyle w:val="12"/>
              <w:keepNext w:val="0"/>
              <w:keepLines w:val="0"/>
              <w:widowControl/>
              <w:suppressLineNumbers w:val="0"/>
              <w:spacing w:before="0" w:beforeAutospacing="0" w:after="150" w:afterAutospacing="0" w:line="300" w:lineRule="atLeast"/>
              <w:ind w:left="0" w:right="0" w:firstLine="0"/>
              <w:jc w:val="left"/>
            </w:pPr>
            <w:r>
              <w:rPr>
                <w:rFonts w:hint="eastAsia" w:ascii="宋体" w:hAnsi="宋体" w:eastAsia="宋体" w:cs="宋体"/>
                <w:sz w:val="24"/>
                <w:szCs w:val="24"/>
              </w:rPr>
              <w:t>3. 最大输入电平（THD+N＜0.1%）：MIC：90mVrms ；MUSIC：</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4.0Vpp4.最大输出电平（THD+N＜0.1%）：5.1mVrms</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5.噪声：MIC/MUSIC：＜40uVrms</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6.动态范围：MIC/MUSIC：＞100dB</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7.输入接口：MIC：≥2路话筒输入MUSIC：两组莲花输入带光纤、同轴输入、支持5.1解码</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8.输出接口：平衡输出、卡侬接口：≥1组主输出、≥1组环绕输出、≥1中置、≥1超低、≥1组后置输出</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9.均衡调节：MIC输入：≥ 双15段自定义类型EQ MUSIC输入：≥10段自定义类型PEQ主输出：≥10段自定义类型PEQ中置输出：≥10段自定义类型PEQ超低输出：≥ 7段自定义类型PEQ环绕输出：≥10段自定义类型PEQ后置输出：≥10段自定义类型PEQ</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10.电源消耗：5.7W  空载状态（无信号输入）</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11.啸叫抑制功能：≥8级MIC防啸叫移频调节</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2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4</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电源时序器</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1、供电电源：交流220V/50Hz ≥80A；</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2、额定输出电压：交流220V/50Hz；</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3、可控制电源：≥8路；不可控制电源：≥2路；每路动作延时时间：≥1秒；每路出带数字显示；</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4、电源开关控制电源；单路额定输出电源：≥20A；</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▲5、控制端口：机器后面板具有≥1路RS-232通讯端口（通过本端口可通过电脑软件控制设备开关）；≥1组IN/OUT CONTROL级联控制端口，（实现多台设备级联开关控制）；≥1路Remote switch远程控制端口，（可与同品 牌中音频矩阵处理器及其他设备联动通讯，实现有线和无线远程控制该电源时序器的开关机）；提供国家权威检测机构（依据CNAS标准）出具的此功能检验或检测报告、报告编号在检测机构官网可查询并提供截图和网站链接证明加盖投标人公章。（原件现场查验）</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6、面板标识：机器前面板具有中英文双语标识；前面板具有≥1个输出电压显示屏；提供国家权威检测机构（依据CNAS标准）出具的此功能检验或检测报告、报告编号在检测机构官网可查询并提供截图和网站链接证明加盖投标人公章。</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5</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数字无线会议控制系统主机</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·讨论型数字会议系统；</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·产品采用数字无线处理音频信号和控制信号，无需繁琐的连线；</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·科学的IP与ID编码设 计，ID:001-008，IP:001-160；</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·单元数量不受限制，可置于回路中任意位置；</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·CPU多级纠错和加密扰码。防止串频干扰和抗手机电磁干扰；</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·具有先进先出和限制发言、主席专用三种发言模式，同时发言人数1-4人可选；</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·主机大屏幕（240X128）点阵LCD显示工作内容。分级菜单设 计，具有音量调节，发言模式，发言人数，使用信道，EQ功能，通信IP和通信ID调节功能，实时显示发言人数，通道顺序，信道位置与单元电量数据；</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·主席优先控制功能，不受限制功能的限制，可切断代表发言；</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·使用距离：80-100米，通讯距离：100-150米；</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·2U机箱设 计，可安装于19英寸标准机柜中；</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·适合各种会议场合使用。电源（Power supply）: DC12-17V接收灵敏度（Sensitivity）: -105dBm</w:t>
            </w:r>
            <w:r>
              <w:rPr>
                <w:rFonts w:hint="eastAsia" w:ascii="宋体" w:hAnsi="宋体" w:eastAsia="宋体" w:cs="宋体"/>
                <w:sz w:val="24"/>
                <w:szCs w:val="24"/>
              </w:rPr>
              <w:br w:type="textWrapping"/>
            </w:r>
            <w:r>
              <w:rPr>
                <w:rFonts w:hint="eastAsia" w:ascii="宋体" w:hAnsi="宋体" w:eastAsia="宋体" w:cs="宋体"/>
                <w:sz w:val="24"/>
                <w:szCs w:val="24"/>
              </w:rPr>
              <w:t>信噪比(S/N Ratio):&gt;90dB失真度(T.H.D):&lt;0.05% dB@1KHz工作有效距离(Working sistance):≥100米会话信道数(Frequency channels):4*64功率(Power)：6.5W                                                   </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9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6</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数字无线会议主席单元</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·讨论型数字会议系统单元；</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·抗电磁、手机干扰功能；</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·LCD液晶屏，可显示电池电量、话筒ID号、系统控制信息等工作状态；</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·按键采用全新结构设 计，手感舒适，无声操作；</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·主席单元具有优先功能，不受限制功能的限制，可切断代表发言；</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·独特外观设 计，拾音距离强；高保真单指向性电容咪芯，声音还原、清晰度高、噪音小，</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·座底与会议咪管可拆分，咪头具有灯环指示开机状态；</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·主席单元具有可控制代表单元发言的优先按键，按下优先按键可强制性切断正在发言的代表单元·内置发射天线，美观大方；</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·使用3*AA 1.5V 电池，即安装即使用，可连续使用7小时。</w:t>
            </w:r>
          </w:p>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·可选色：银色。  电源供应（Power supply）：DC 4.5V，AA1.5V*3发射功率（Transmit power）：10mW拾音咪头（Microphone core）：电容式、单一指向话筒灵敏度（Sensitivity）：-43±3dB@1KHz频率响应（Frequency response）：40-16KHz持续使用时长(Working time):主席18小时</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6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7</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数字无线会议代表单元</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·讨论型数字会议系统单元；</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·抗电磁、手机干扰功能；</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·LCD液晶屏，可显示电池电量、话筒ID号、系统控制信息等工作状态；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·按键采用全新结构设 计，手感舒适，无声操作；</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·独特外观设 计，拾音距离强；高保真单指向性电容咪芯，声音还原、清晰度高、噪音小，</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·座底与会议咪管可拆分，咪头具有灯环指示开机状态；·内置发射天线，美观大方；</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·使用3*AA 1.5V 电池，即安装即使用，可连续使用7小时。</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·可选色：银色。  </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电源供应（Power supply）：DC4.5V，AA1.5V*3;发射功率（Transmitpower）：10mW拾音咪头（Microphone core）：电容式、单一指向话筒灵敏度（Sensitivity）：-43±3dB@1KHz频率响应（Frequency response）：40-16KHz持续使用时长(Working time):代表18小时</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4</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2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8</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U段红外对频拖二会议</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两通道接收信号,每通道有200个信道可选，每个信道以0.25MHz步进；每通道用49.75MHZ;</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采用红外自动对频技术，振荡方式：锁相环频率合成；</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UHF频段传输信号，频率范围：500MHz-900MHz；</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 同一场合可供40套机同时使用，即可同时使用40台接收机和80个发射器；</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5.每通道设有独立窗口，LCD屏显示工作信道、工作频点、接收信号、音频信号，各通道配备独立的音量调节旋钮、红外对频信号灯、一键对频按键、频率前后调节按键、通道电源开关按键；</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6.接收机背面设置2条橡胶接收天线，增强接收的信号，外观大方得体；</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7.背面设有2个独立SQ电位器、2个平衡输出和1个混合非平衡输出，适合连接各种外置设备；</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8.400个信道中互通互用，尽显人性化的高新技术设 计；</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9.高保真单指向性电容咪芯，声音还原、清晰度高、噪音小；拾音距离可达30-50CM；</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10.话筒耗电量为80mA，使用内置3.7V、2100mA大容量锂电池供电，可连续使用30小时；</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11.外置小天线设 计，接收更稳定，有效增加接收距离；</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12.使用距离: 空旷环境：80-100米;复杂环境：50-80米            </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13.适用于各种会议和演讲场合。接收机参数(receiver parameter) 振荡方式(Oscillation: ): 锁相环频率合成(PLL syntheized)频率范围(Carrier Ferquency Range)：UHF 500MHz～900MHz频率稳 定 性(Frequency Stability)：±0.001%最大频率偏(Max.eviation Range)：±50KHz调制方式(Modulation Mode)：FM信噪比(S/N Ratio)：&gt;105dB失真度（T.H.D）:</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9</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设备机柜</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sz w:val="24"/>
                <w:szCs w:val="24"/>
              </w:rPr>
              <w:t>42U</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10</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辅材</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线材等</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8516" w:type="dxa"/>
            <w:gridSpan w:val="5"/>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left"/>
            </w:pPr>
            <w:r>
              <w:rPr>
                <w:rStyle w:val="16"/>
                <w:rFonts w:hint="eastAsia" w:ascii="宋体" w:hAnsi="宋体" w:eastAsia="宋体" w:cs="宋体"/>
                <w:b/>
                <w:sz w:val="24"/>
                <w:szCs w:val="24"/>
              </w:rPr>
              <w:t>二、视频部分（全彩P2.5LED显示屏）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LED显示屏(5.44*2.72)</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显示屏技术要求：</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1、灯芯像素封装：SMD2020三合一封装；</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2、像素密度:≥160000Dots/㎡;</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3、模组尺寸：320mm×160mm、模组像素密度：128点×64点；</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4、结构特点：灯驱合一，采用恒流设 计；</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5、驱动方式：1/32恒流驱动;</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6、最大亮度：≥620cd/㎡;</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7、亮度均匀性：≧96%;</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8、色度均匀性：符合通过-0.003&lt;cx&lt;0.003，-0.003&lt;cy&lt;0.003（校正后）技术要求；&lt; span="" style="box-sizing: border-box;"&gt;</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9、水平视角：≥150°、垂直视角：≥140°;</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10、最大功耗：≤419W/㎡、平均功耗：≤140W/㎡;</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11、最大对比度：≧5208:1</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12、灰度等级（信号处理深度）：符合16Bits技术，换帧频率：≥60帧/秒;</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13、刷新频率符合：≥3840HZ；</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14、像素中心距精确度：≦2.5mm</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15、色温:符合3000K-18000K可调</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16、低亮高灰：符合亮度为20%时信号处理深度（灰度级数）大道14BIt;</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17、平整度：≦0.2mm</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18、宽色域：按照测试NTSC色域技术要求，检验结果能达到：≧115%；</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19、平均无故障时间（MTBF）：≥10000H;</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20、模组结构符合LED显示屏显示部分结构可采用钢、铝、塑料等材料，结构安全坚固；套件、箱体材质采用聚碳酸酯和玻璃纤维材质；</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21、像素失控率：符合≦0.01%；</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22、工作电压：符合在4.5×（1±10%）VDC范围内能正常工作；</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23、自动校正：能实现数据采集自动共享到网上，客户可自行下载校正数据，进行校正和优化；可通过系统调节参数影响显示效果；</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24、模组符合EMC(辐射、干扰、抗干扰、谐波)检测，</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25、工作环境：可在-20℃~50℃条件下能正常工作；</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26、投标产品符合3C强制认证和3C节能证书，提供相关证明材料；</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27、投标人提供由CMA、CAL、CNAS机构联合认证的检测报告验证以上参数6-25点功能性参数指标，确保产品未出现负偏离，并提供售后授权书</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14.8</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2</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视频处理器</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1、针对LED大屏幕显示系统开发的视频处理器，采用业界顶尖的视频处理芯片，内部12位数字处理，图像更清晰、色彩更丰富；2、采用Faroudja？ DCDI去隔行视频处理 、Faroudja Real Color真彩图像处理 、Faroudja、TureLife视频图像增强等技术，完美呈现视频图像；</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3、单机最大输出分辨率2304x1152，支持自定义分辨率输出；淡入淡出切换效果；PIP，大小位置任意显示；AIAO(Any In Any Out)功能，任意截取任意输出；</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4、具有完备的视频输入接口，包括 2路AV，1路VGA，1路DVI，1路HDMI，1路选配SDI；</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5、强大的图像处理、专业的图像控制、以及友好的人机界面；</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6、提供淡入淡出的切换效果，以增强并呈现专业品质的演示画面；</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7、画中画的位置、大小等均可调节，可以随心所欲的控制；</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8、直观的LCD显示界面，清晰的按键灯提示，简化系统的控制；</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9、支持高位阶视频输入，10bit/8bit；</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10、支持自定义分辨率输出，视频最大输出分辨率2304x1152@60Hz。</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3</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发送卡</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1、单张发送卡支持分辨率  ： 1280×1024、1024×1200、1600×848、1920×712、2048×668</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2、带载能力 ： 130万像素</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3、控制方式 ：采用航空头 USB 线级联；</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4、音频接口 ： 3.5mm音频接口</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5、视频格式 ： RGB</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6、一路 DVI 视频输入</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7、双网口输出；</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8、USB 接口控制，可级联多台进行统一控制；</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9、一路光探头接口；</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10、独立电源供电，供电电压 ： AC-100-240V-50/60HZ</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11、认证 ： CE、RoHS、FCC、EAC、IC</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8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4</w:t>
            </w:r>
          </w:p>
        </w:tc>
        <w:tc>
          <w:tcPr>
            <w:tcW w:w="8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接收卡</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所有功能，且支持连接监控卡，实现全面监控，其功能简介如下：</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1) 集成 16 个标准 HUB75 接口，免接 HUB；</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2) 单卡输出 RGBR’数据 16 组；</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3) 单卡输出 RGB 数据 20 组；</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4) 单卡输出串行数据 64 组；</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5) 单卡带载像素为 256×512/128*1024；</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6) 支持配置文件回读；</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7) 支持温度监控.</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8) 支持网线通讯状态检测；</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9) 支持供电电压检测；</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10) 支持逐点亮色度校正；</w:t>
            </w:r>
          </w:p>
          <w:p>
            <w:pPr>
              <w:pStyle w:val="12"/>
              <w:keepNext w:val="0"/>
              <w:keepLines w:val="0"/>
              <w:widowControl/>
              <w:suppressLineNumbers w:val="0"/>
              <w:spacing w:before="0" w:beforeAutospacing="0" w:after="150" w:afterAutospacing="0"/>
              <w:ind w:left="105" w:right="0" w:firstLine="0"/>
            </w:pPr>
            <w:r>
              <w:rPr>
                <w:rFonts w:hint="eastAsia" w:ascii="宋体" w:hAnsi="宋体" w:eastAsia="宋体" w:cs="宋体"/>
                <w:sz w:val="24"/>
                <w:szCs w:val="24"/>
              </w:rPr>
              <w:t>11) 支持接收卡预存画面设置；</w:t>
            </w:r>
          </w:p>
          <w:p>
            <w:pPr>
              <w:pStyle w:val="12"/>
              <w:keepNext w:val="0"/>
              <w:keepLines w:val="0"/>
              <w:widowControl/>
              <w:suppressLineNumbers w:val="0"/>
              <w:spacing w:before="0" w:beforeAutospacing="0" w:after="150" w:afterAutospacing="0"/>
              <w:ind w:left="105" w:right="0"/>
            </w:pPr>
            <w:r>
              <w:rPr>
                <w:rFonts w:hint="eastAsia" w:ascii="宋体" w:hAnsi="宋体" w:eastAsia="宋体" w:cs="宋体"/>
                <w:sz w:val="24"/>
                <w:szCs w:val="24"/>
              </w:rPr>
              <w:t>12) 支持连接监控卡；</w:t>
            </w:r>
          </w:p>
        </w:tc>
        <w:tc>
          <w:tcPr>
            <w:tcW w:w="4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40</w:t>
            </w:r>
          </w:p>
        </w:tc>
        <w:tc>
          <w:tcPr>
            <w:tcW w:w="33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2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5</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控制主机</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处理器： ≥英特尔酷睿双核处理器，主频≥3.9Mhz，缓存≥3MB；</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内存：   4GB DDR4 2400Mhz； </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硬盘：   SATA 1000G(7200转) ；</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 主板：   B250 PCI</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 显示器： 19.5寸液晶显示器（与电脑同一品 牌）；</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 网卡：集成1000M网卡</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 声卡：主板集成；</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8. 显卡：集成高清显卡</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9. 键鼠：防水抗菌功能的光电鼠标和防水抗菌功能的键盘</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10. 机箱：18L</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11. USB接口：≥6* USB3.0接口，≥2*USB2.0接口，其中前置≥4*USB 3.0，后置≥4*USB</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12. 其他接口：≥1*HDMI、读卡器、≥1*VGA、≥3*SATA、1*耳机接口、1*麦克风接口；≥1*M.2；≥1*Line-out+ 1*Mic；≥1*九针串口</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 插槽：≥1*PCI Express*16；≥2*PCI Express*1</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6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6</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LED播放软件</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1、软件与操作系统具有良好的兼容性、易操作，具备播放软件证书；</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2、通过软件控制信号源切换；</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3、屏幕可实现画中画显示；</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4、窗口可进行位置和大小调整；</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5、文本显示、动画显示、视频显示、图片显示、计算机画面显示、具有幻灯片功能；</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6、支持AVI、MPEG、MOV、WMV、RM等主流格式视频文件；</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7、表现形式丰富，支持双层字幕的滚动，支持左飞及上下字幕滚动，各种logo、时钟位置可任意设定位置，任意大小，任意拖拽，同时应支持基于时间线的可视化编辑，所见即所得；</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8、支持循环播、垫片播、立即播、定时播、周期播、计划播、插播播出单、插播区、区内插播、节目顺播、播出单顺播、节目循环播、播出单循环播、同步播、异步播等众多播出方式；</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9、支持每天按排程及模板自动播放；</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10、支持在排程空档期间播放指 定的元素（即垫片播放）；</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11、支持异形屏的组合播放；</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12、支持多屏拼接融合，支持跨屏组合播放；</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13、系统及终端应能支持电视节目、网络节目、自定义节目的视频实时直播和插播发布；</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14、应支持VCD、Mpeg-1/2/4、WMV9、H.264等标准格式播放；</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15、支持身份认证登录系统：</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①：授权登录系统，仅对授权用户有效，二代身份证和IC卡未经授权无法登录软件系统（提供软件截图佐证），为确保信息安全，二维码热敏打印机、身份证、IC卡识别等应集成为一体机；系统软件共用一套（提供样机照片佐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②：二代证和IC卡授权方式：管理端软件给二代证和IC卡授权，该授权长期有效；（提供软件截图佐证）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③：二维码授权方式：管理端授权后，生成授权二维码，（提供软件截图佐证）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④：二代证、IC卡登录验证：授权用户在中控主机上刷经授权的二代证、IC卡，读取成功后自动登录系统；（提供软件截图佐证）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⑤：二维码登录验证：将二维码放到扫描仪上，经授权的二维码识别成功后自动登录系统，授权二维码仅一次有效，无法再次登录；（提供软件截图佐证）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16、控制系统软件具备同轴传输控制系统嵌入式软件证书，并提供相关材料证明；</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17、控制系统具备核心板嵌入式软件，须提供相关证明材料；</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18、控制系统支持校正软件，须提供相关证明材料；</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19、控制系统支持显示屏智能配屏工具软件，须提供相关证明材料；</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20、控制系统支持显示屏参数配置软件V1.0，须提供相关证明材料；</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21、投标时提供三年售后质保函原件，已保障采购人的售后权益；</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8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7</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智能配电柜</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1、功率/电流（KW/A)：20KW/80A；电压/频率（V/Hz）: 三相220V-380V / 50-60Hz；</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2、断路器数量/电流：1Px6路/25A；</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3、配电箱内主令开关均选用品 牌器件，具有过流、过压、欠压、短路、断路、超温、超负荷、断电、线路避雷等保护功能；</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4、支持定时开关电，手动控制、自动控制；</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5、须提供配电箱3C认证；</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6、投标产品具备CE、FCC、ROHS等证书，并提供相关材料；</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7、投标产品具备有关于对触及带电部分部件的防护以及机械强度的检测，投标时提供带有CMA、CNAS标识联合认证的检测报告复印件，原件备查。</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6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8</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配套框架结构</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1、屏体尺寸： 5.76*2.44，2、采用国标镀锌方管、铝合金边框等现场定制，屏幕包边装饰采用铝塑板或者哑光拉丝不锈钢；3、为保障屏幕结构安全稳定、外观美观大方，投标人应进行现场勘查，并根据实际勘查情况提供安装平面效果图、钢结构框架图纸及安装尺寸递交至业主方确认；业主对投标人提供的效果图及钢结构框架尺寸认可后开具确认函</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15.6</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9</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综合布线及安装调试</w:t>
            </w:r>
          </w:p>
        </w:tc>
        <w:tc>
          <w:tcPr>
            <w:tcW w:w="6532" w:type="dxa"/>
            <w:tcBorders>
              <w:top w:val="nil"/>
              <w:left w:val="nil"/>
              <w:bottom w:val="nil"/>
              <w:right w:val="nil"/>
            </w:tcBorders>
            <w:shd w:val="clear" w:color="auto" w:fill="auto"/>
            <w:tcMar>
              <w:top w:w="0" w:type="dxa"/>
              <w:left w:w="105" w:type="dxa"/>
              <w:bottom w:w="0" w:type="dxa"/>
              <w:right w:w="105" w:type="dxa"/>
            </w:tcMar>
            <w:vAlign w:val="top"/>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电源线缆4*6mm2+1*4、超六类网线、各类接插件等采用国标产品，满足系统使用</w:t>
            </w:r>
          </w:p>
        </w:tc>
        <w:tc>
          <w:tcPr>
            <w:tcW w:w="45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8516" w:type="dxa"/>
            <w:gridSpan w:val="5"/>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Style w:val="16"/>
                <w:rFonts w:hint="eastAsia" w:ascii="宋体" w:hAnsi="宋体" w:eastAsia="宋体" w:cs="宋体"/>
                <w:b/>
                <w:sz w:val="24"/>
                <w:szCs w:val="24"/>
              </w:rPr>
              <w:t>三、装修部分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轻钢龙骨吊顶铝扣板</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U50轻钢龙骨600*600*70铝扣天花</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175</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2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2</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木作墙面吸音棉、吸音板</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要求：超细玻璃棉吸板（墙面）1、U50轻钢龙骨打底，2、聚酯纤维吸音板面层，3、中空填充超细玻璃吸声棉</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3</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LED格栅灯</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595*595*75㎜规格，38W</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45</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4</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中央空调</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5匹380V冷暖四面出风</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8516" w:type="dxa"/>
            <w:gridSpan w:val="5"/>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Style w:val="16"/>
                <w:rFonts w:hint="eastAsia" w:ascii="宋体" w:hAnsi="宋体" w:eastAsia="宋体" w:cs="宋体"/>
                <w:b/>
                <w:sz w:val="24"/>
                <w:szCs w:val="24"/>
              </w:rPr>
              <w:t>四、校园广播系统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5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1</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数码编程控制主机</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轻触式快捷流向性按键操作编程，4.3寸LCD液晶屏,内置中/英文切换功能，图形与文字结合操作菜单；</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b/>
                <w:sz w:val="24"/>
                <w:szCs w:val="24"/>
              </w:rPr>
              <w:t>2. </w:t>
            </w:r>
            <w:r>
              <w:rPr>
                <w:rStyle w:val="16"/>
                <w:rFonts w:hint="eastAsia" w:ascii="宋体" w:hAnsi="宋体" w:eastAsia="宋体" w:cs="宋体"/>
                <w:b/>
                <w:sz w:val="24"/>
                <w:szCs w:val="24"/>
              </w:rPr>
              <w:t>面板自带18个快捷操作按键，1个一键飞梭多功能按键</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3.全新编程模式，4个主程序，1个特殊备用程序。并可预设晴天雨天运行模式；</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4.内置MP3播放功能，可对内置MP3音源进行编程定时，采用USB接口、SD卡存储MP3音乐，可以无限扩展存储容量；设有快捷键，一键调用MP3曲目，简单、方便；</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5.主机自带5进10出功率分区，实现编程自动或手动分区广播，打破传统的操作模式，面板10分区操作按键，可随意打开或关闭分区通道；</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6.设网络2个CAN总线，可控制18台分区器，最大可达300个广播分区，实现编程自动或手动分区广播；</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7.24小时精确到秒全天候按星期制运行程序，定时播放可达99曲；可编4+1套程序，每套程序99个控制任务，按星期重复运行程序。</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 每一个任务最可以控制10个不同设备任务同时执行，一套任务可达900多个执行点，可以控制300路分区电源的定时开关。</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9. 主机内置6路可编程定时控制电源插座，面板有快捷按键，可手动操作/自动运行。并设有外接电源时序器的扩展接口；</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10. 具有消防信号触发功能，主机所接电源自动上电，全部分区自动打开，报警复位，转入正常广播；</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11. 具有断电记忆存储功能，断电所有编辑程序内容不丢失，来电自动恢复运行；</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12. 系统PC软件操作，内置RS-232接口，电脑对主机编程、配制，再下载到主机，使繁琐的编程变得简单方便。</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13. 可扩展无线遥控功能预设12个任务功能键，可实现电源管理，分区控制及播放。遥控距离可达1000米，通过电脑对遥控按键进行功能配制，可将遥控器任意键配制成电源管理、MP3 播放及分区控制；</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14. 支持主机脱机运行；</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15.技术参数：1.MP3频率响应 20Hz-20KHz/±1dB2.MP3存储介质 SD储存卡3.音乐格式 MPEG 1/2 Layer 3 、WMA、WAV、OGG、APE、FLAC4.音频失真度 0.10%5.功耗 50W6.电源 AC220V~240V/50~60HZ7、尺寸 485×390×90mm8、重量 7.5kg</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2</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前置放大器</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标准机柜式设 计（2U），人性化的设 计，考究的工艺，尽显高档气质；</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具有5路话筒（MIC）输入，3路标准信号线路（AUX）输入，2路紧急线路（EMC）输入；</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第5个话筒（MIC5）具有最高优先、强行切入优先功能；MIC5和EMC最高优先权限功能可通过拔动开关交替选择，客户可根据使用情况选择优先；</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4.4路紧急输入线路具有二级优先，强行切入优先功能；</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5.MIC1、2、3、4、5 和2路紧急输入（EMC）通道均附设有线路辅助输入接口功能；</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6.MIC1、2、3、4和AUX1、2、3可交叉混合输出；</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7.话筒（MIC）输入通道和线路（AUX）输入通道均可独立调校音量；</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8.设有高音（TREBLE）和低音（BASS）独立调节；</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技术参数：</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话筒1-5的输入灵敏度  话筒:5mV/600Ω非平衡；线路RCA:775MV /10KΩ非平衡</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辅助1-3输入 AUX 1.2.3: 3500mV/10KΩ非平衡</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EMC1-2输入 RAC：非平衡 200MV～1000MV/10KΩ</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 MIC：非平衡 5MV～25MV/600Ω</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 频率响应 20-20KHz(±3dB)</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 信噪比 MIC 输入: 50dB； AUX输入: 80dB</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 音调调节  低音:±10dB at 100Hz； 高音:±10dB at 10KHz</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8. 电源 ～220V/50Hz</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9. 电源功耗 20W</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10. 尺寸 484×303×88mm</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11.重量：5.5kg                   </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3</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室外防水音柱（60W）</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额定功率：60W</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最大功率：120W</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定压输入：70-100V</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 灵敏度：91dB</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 频率响应：90-16000Hz</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6、 扬声器：6''×3</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7、 外部尺寸：225×120×740mm</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8、 材料：铝合金</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5</w:t>
            </w:r>
          </w:p>
        </w:tc>
        <w:tc>
          <w:tcPr>
            <w:tcW w:w="33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3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4</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纯后级广播功放（500W）</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标准机柜式设 计（2U/3U），人性化的设 计，考究的工艺，尽显高档气质；</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1通道LINE不平衡TRS输入，1通道LINE不平衡TRS级联输出；</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1通道LINE平衡XLR输入，1通道LINE平衡XLR级联输出；</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 面板带音量调节旋钮；</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 产品具有良好的短路、过载、过热等自我保护；</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 2种功率输出方式：定压输出100V、70V和定阻输出4～16Ω。</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 输入灵敏度选择：1.4V、1.0V、0.775V</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技术参数：</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 功率 500W</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2. 功耗 750W</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3. 灵敏度 1V</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4. 信噪比 -85dB</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5. 输出 70V/100V/240V/4-16Ω</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6. 频率 100HZ-18KHZ</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7. 失真度 ＜1%</w:t>
            </w:r>
          </w:p>
          <w:p>
            <w:pPr>
              <w:pStyle w:val="12"/>
              <w:keepNext w:val="0"/>
              <w:keepLines w:val="0"/>
              <w:widowControl/>
              <w:suppressLineNumbers w:val="0"/>
              <w:spacing w:before="0" w:beforeAutospacing="0" w:after="150" w:afterAutospacing="0"/>
              <w:ind w:left="0" w:right="0" w:firstLine="0"/>
            </w:pPr>
            <w:r>
              <w:rPr>
                <w:rFonts w:hint="eastAsia" w:ascii="宋体" w:hAnsi="宋体" w:eastAsia="宋体" w:cs="宋体"/>
                <w:sz w:val="24"/>
                <w:szCs w:val="24"/>
              </w:rPr>
              <w:t>8.  尺寸 485×410×88mm</w:t>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9. 重量 17.5Kg</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35"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5</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U段红外对频拖二会议</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 两通道接收信号,每通道有200个信道可选，每个信道以0.25MHz步进；每通道用49.75MHZ;</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2. 采用红外自动对频技术，振荡方式：锁相环频率合成；</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3. UHF频段传输信号，频率范围：500MHz-900MHz；</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4. 同一场合可供40套机同时使用，即可同时使用40台接收机和80个发射器；</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5. 每通道设有独立窗口，LCD屏显示工作信道、工作频点、接收信号、音频信号，各通道配备独立的音量调节旋钮、红外对频信号灯、一键对频按键、频率前后调节按键、通道电源开关按键；</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6. 接收机背面设置2条橡胶接收天线，增强接收的信号，外观大方得体；</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7. 背面设有2个独立SQ电位器、2个平衡输出和1个混合非平衡输出，适合连接各种外置设备；</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8.400个信道中互通互用，尽显人性化的高新技术设 计；</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9.高保真单指向性电容咪芯，声音还原、清晰度高、噪音小；拾音距离可达30-50CM；</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10.话筒耗电量为80mA，使用内置3.7V、2100mA大容量锂电池供电，可连续使用30小时；</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11.外置小天线设 计，接收更稳定，有效增加接收距离；</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12.使用距离: 空旷环境：80-100米      复杂环境：50-80米            </w:t>
            </w:r>
            <w:r>
              <w:rPr>
                <w:rFonts w:hint="eastAsia" w:ascii="宋体" w:hAnsi="宋体" w:eastAsia="宋体" w:cs="宋体"/>
                <w:sz w:val="24"/>
                <w:szCs w:val="24"/>
              </w:rPr>
              <w:br w:type="textWrapping"/>
            </w:r>
            <w:r>
              <w:rPr>
                <w:rFonts w:hint="eastAsia" w:ascii="宋体" w:hAnsi="宋体" w:eastAsia="宋体" w:cs="宋体"/>
                <w:sz w:val="24"/>
                <w:szCs w:val="24"/>
              </w:rPr>
              <w:t>13.适用于各种会议和演讲场合。接收机参数(receiver parameter) 振荡方式(Oscillation: ): 锁相环频率合成(PLL syntheized)频率范围(Carrier Ferquency Range)：UHF 500MHz～900MHz频率稳 定 性(Frequency Stability)：±0.001%最大频率偏(Max.eviation Range)：±50KHz调制方式(Modulation Mode)：FM信噪比(S/N Ratio)：&gt;105dB失真度（T.H.D）:</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5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6</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wordWrap w:val="0"/>
              <w:spacing w:before="0" w:beforeAutospacing="0" w:after="150" w:afterAutospacing="0" w:line="300" w:lineRule="atLeast"/>
              <w:ind w:left="0" w:right="0"/>
              <w:jc w:val="center"/>
            </w:pPr>
            <w:r>
              <w:rPr>
                <w:rFonts w:hint="eastAsia" w:ascii="宋体" w:hAnsi="宋体" w:eastAsia="宋体" w:cs="宋体"/>
                <w:sz w:val="24"/>
                <w:szCs w:val="24"/>
              </w:rPr>
              <w:t>UHF天线分配系统</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UHF 500MHZ 宽频带设 计，适合多种无线系统使用；</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采用高品质高频中周电路，低噪音宽带电路放大设 计，具有较高的通道分离度；</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产品设有8通道低损耗天线分配，可实现4套单频道自动选讯接收机共用一对天线，并且有电源分配插座，有效增加接收距离，使工程安装更方便简捷；？频率响应：450-950MHZ；</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天线增益：0dB 3dB 12dB；</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输入阻抗：50Ω</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输出阻抗：50Ω</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安装插头：TNC/BNC；</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幻像电源：+9V DC 20MA；</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供电：DC12~18V 3000MA；</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主机尺寸：45*420*160MM</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天线尺寸：290*260MM</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天线放大器：25*45*75MM</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7</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电源时序器</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1.额定输出电流：80A</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2.单路额定输出电流：30A</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3.可控制电源：8路</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4.不可控制电源：2路</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5.每路动作延时时间：1秒</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6.▲控制端口：机器后面板具有1路RS-232通讯端口（通过本端口可通过电脑软件控制设备开关）；1组IN/OUT CONTROL级联控制端口，（实现多台设备级联开关控制）；1路Remote switch远程控制端口，（可与同品 牌中音频矩阵处理器及其他设备联动通讯，实现有线和无线远程控制该电源时序器的开关机）；提供国家权威检测机构（依据CNAS标准）出具的此功能检测报告、报告编号在检测机构官网可查询并提供截图和网站链接证明加盖投标人公章。</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7.▲面板标识：机器前面板具有中英文双语标识；前面板具有1个输出电压显示屏；提供国家权威检测机构（依据CNAS标准）出具的此功能检测报告、报告编号在检测机构官网可查询并提供截图和网站链接证明加盖投标人公章。</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8.中控接口：RS232，可接受中控控制，同时可接受软件通过电脑进行远程控制</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9.每路输出带电源指示灯</w:t>
            </w:r>
          </w:p>
          <w:p>
            <w:pPr>
              <w:pStyle w:val="12"/>
              <w:keepNext w:val="0"/>
              <w:keepLines w:val="0"/>
              <w:widowControl/>
              <w:suppressLineNumbers w:val="0"/>
              <w:wordWrap w:val="0"/>
              <w:spacing w:before="0" w:beforeAutospacing="0" w:after="150" w:afterAutospacing="0"/>
              <w:ind w:left="0" w:right="0" w:firstLine="0"/>
            </w:pPr>
            <w:r>
              <w:rPr>
                <w:rFonts w:hint="eastAsia" w:ascii="宋体" w:hAnsi="宋体" w:eastAsia="宋体" w:cs="宋体"/>
                <w:sz w:val="24"/>
                <w:szCs w:val="24"/>
              </w:rPr>
              <w:t>10.单路电源输出可独立控制开关</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11.滤波：带电容滤波功能</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10" w:hRule="atLeast"/>
        </w:trPr>
        <w:tc>
          <w:tcPr>
            <w:tcW w:w="3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8</w:t>
            </w:r>
          </w:p>
        </w:tc>
        <w:tc>
          <w:tcPr>
            <w:tcW w:w="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sz w:val="24"/>
                <w:szCs w:val="24"/>
              </w:rPr>
              <w:t>综合布线及安装调试</w:t>
            </w:r>
          </w:p>
        </w:tc>
        <w:tc>
          <w:tcPr>
            <w:tcW w:w="65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电源线缆2*1mm2等采用国标产品，满足系统使用</w:t>
            </w:r>
          </w:p>
        </w:tc>
        <w:tc>
          <w:tcPr>
            <w:tcW w:w="4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p>
        </w:tc>
        <w:tc>
          <w:tcPr>
            <w:tcW w:w="33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批</w:t>
            </w:r>
          </w:p>
        </w:tc>
      </w:tr>
    </w:tbl>
    <w:p>
      <w:pPr>
        <w:widowControl/>
        <w:shd w:val="clear" w:color="auto" w:fill="FFFFFF"/>
        <w:spacing w:line="360" w:lineRule="auto"/>
        <w:jc w:val="left"/>
        <w:rPr>
          <w:rFonts w:ascii="宋体" w:hAnsi="宋体" w:eastAsia="宋体" w:cs="宋体"/>
          <w:kern w:val="0"/>
          <w:sz w:val="24"/>
          <w:szCs w:val="24"/>
        </w:rPr>
      </w:pPr>
    </w:p>
    <w:p>
      <w:pPr>
        <w:pStyle w:val="12"/>
        <w:keepNext w:val="0"/>
        <w:keepLines w:val="0"/>
        <w:widowControl/>
        <w:suppressLineNumbers w:val="0"/>
      </w:pPr>
    </w:p>
    <w:p>
      <w:pPr>
        <w:pStyle w:val="12"/>
        <w:keepNext w:val="0"/>
        <w:keepLines w:val="0"/>
        <w:widowControl/>
        <w:suppressLineNumbers w:val="0"/>
      </w:pPr>
      <w:r>
        <w:rPr>
          <w:rFonts w:hint="eastAsia" w:ascii="宋体" w:hAnsi="宋体" w:eastAsia="宋体" w:cs="宋体"/>
          <w:sz w:val="24"/>
          <w:szCs w:val="24"/>
        </w:rPr>
        <w:t>三、商务条件</w:t>
      </w:r>
      <w:r>
        <w:rPr>
          <w:rStyle w:val="16"/>
          <w:rFonts w:hint="eastAsia" w:ascii="宋体" w:hAnsi="宋体" w:eastAsia="宋体" w:cs="宋体"/>
          <w:sz w:val="24"/>
          <w:szCs w:val="24"/>
        </w:rPr>
        <w:t>（以下内容不允许负偏离）</w:t>
      </w:r>
    </w:p>
    <w:p>
      <w:pPr>
        <w:pStyle w:val="12"/>
        <w:keepNext w:val="0"/>
        <w:keepLines w:val="0"/>
        <w:widowControl/>
        <w:suppressLineNumbers w:val="0"/>
      </w:pPr>
      <w:r>
        <w:rPr>
          <w:rStyle w:val="16"/>
          <w:rFonts w:hint="eastAsia" w:ascii="宋体" w:hAnsi="宋体" w:eastAsia="宋体" w:cs="宋体"/>
          <w:sz w:val="24"/>
          <w:szCs w:val="24"/>
        </w:rPr>
        <w:t>包：1</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1、交付地点：</w:t>
      </w:r>
      <w:r>
        <w:rPr>
          <w:rStyle w:val="16"/>
          <w:rFonts w:ascii="宋体" w:hAnsi="宋体" w:eastAsia="宋体" w:cs="宋体"/>
          <w:i w:val="0"/>
          <w:caps w:val="0"/>
          <w:color w:val="000000"/>
          <w:spacing w:val="0"/>
          <w:sz w:val="24"/>
          <w:szCs w:val="24"/>
        </w:rPr>
        <w:t>福建省三明市建宁县黄舟坊南路32号</w:t>
      </w:r>
      <w:r>
        <w:rPr>
          <w:rStyle w:val="16"/>
          <w:rFonts w:hint="eastAsia" w:ascii="宋体" w:hAnsi="宋体" w:eastAsia="宋体" w:cs="宋体"/>
          <w:sz w:val="24"/>
          <w:szCs w:val="24"/>
        </w:rPr>
        <w:t xml:space="preserve"> </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2、交付时间：合同签订后 (20 ) 天内交货</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3、交付条件：合同签订后 (20 ) 天内交货</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4、是否收取履约保证金：否</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5、是否邀请投标人参与验收：否</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 xml:space="preserve">6、验收方式数据表格 </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（一）验收标准: 应按厂家的产品出厂检验标准、招标文件以及国家或行业验收规范要求及合同中的相关条款进行数量及质量的验收。业主在货物安装调试完成后，应按合同中的相关条款及生产厂家的产品出厂检验标准、招标文件、设计文件以及国家和行业验收规范要求及对本合同所约定的货物清单及要求对货物的品牌、外观、配件及安装调试后的使用性能等验收，并在验收现场提供必要的技术支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（二）检验程序：货物检验分出厂检验、初验收、试运行及最终验收三个阶段。 第一步：出厂检验。中标方需提供货物、安装材料、工具、和文件的发货清单和计划，发货计划应经采购人认可后实施。中标方负责所提供货物的出厂检验，保证货物原产地和技术指标的真实性、完整性、合法性，并负责将货物送达交货地点，并向采购人提供货物制造厂的出厂检验报告、质量合格证书、原装拼配货物的证明资料和文件。采购人在货物到货后，将按合同规定对所交货物进行清点、核对和商检。 第二步：初验收。货物送达项目地点后，与采购人共同进行对货物的品种、数量、基本质量、外包装等根据招标文件的有关规定逐项检验。 第三步：试运行。试运行期间，出现的任何问题，应由中标方及时处理修正。在主要指标（如可靠性、稳定性等）经试运行验收测试符合要求后，最终验收才能进行。试运行货物验收测试不合格，中标方需进行维修和更换，并重新调试运行直至达到最终验收合格。 第四步：最终验收。试运行并测试验收结束后，由采购方组织相关管理部门和技术人员按招标文件以及合同相关条款要求对系统进行联合验收，验收结果应符合采购方使用要求。在此期间，若发现货物质量有问题，中标方应无条件免费更换，若货物运行有问题，中标方应无条件重新检测并调试，直至验收合格交付使用。</w:t>
            </w:r>
          </w:p>
        </w:tc>
      </w:tr>
    </w:tbl>
    <w:p>
      <w:pPr>
        <w:keepNext w:val="0"/>
        <w:keepLines w:val="0"/>
        <w:widowControl/>
        <w:suppressLineNumbers w:val="0"/>
        <w:jc w:val="left"/>
      </w:pPr>
      <w:r>
        <w:rPr>
          <w:rStyle w:val="16"/>
          <w:rFonts w:ascii="宋体" w:hAnsi="宋体" w:eastAsia="宋体" w:cs="宋体"/>
          <w:kern w:val="0"/>
          <w:sz w:val="24"/>
          <w:szCs w:val="24"/>
          <w:lang w:val="en-US" w:eastAsia="zh-CN" w:bidi="ar"/>
        </w:rPr>
        <w:br w:type="textWrapping"/>
      </w:r>
      <w:r>
        <w:rPr>
          <w:rStyle w:val="16"/>
          <w:rFonts w:ascii="宋体" w:hAnsi="宋体" w:eastAsia="宋体" w:cs="宋体"/>
          <w:kern w:val="0"/>
          <w:sz w:val="24"/>
          <w:szCs w:val="24"/>
          <w:lang w:val="en-US" w:eastAsia="zh-CN" w:bidi="ar"/>
        </w:rPr>
        <w:t xml:space="preserve">7、支付方式数据表格 </w:t>
      </w:r>
    </w:p>
    <w:p>
      <w:pPr>
        <w:pStyle w:val="12"/>
        <w:keepNext w:val="0"/>
        <w:keepLines w:val="0"/>
        <w:widowControl/>
        <w:suppressLineNumbers w:val="0"/>
        <w:ind w:left="0" w:firstLine="0"/>
        <w:rPr>
          <w:rStyle w:val="16"/>
          <w:rFonts w:hint="eastAsia" w:ascii="宋体" w:hAnsi="宋体" w:eastAsia="宋体" w:cs="宋体"/>
          <w:sz w:val="24"/>
          <w:szCs w:val="24"/>
        </w:rPr>
      </w:pPr>
      <w:r>
        <w:rPr>
          <w:rStyle w:val="16"/>
          <w:rFonts w:hint="eastAsia" w:ascii="宋体" w:hAnsi="宋体" w:eastAsia="宋体" w:cs="宋体"/>
          <w:sz w:val="24"/>
          <w:szCs w:val="24"/>
        </w:rPr>
        <w:br w:type="textWrapping"/>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最终验收合格后7个工作日内付合同总价的90%（首付款前卖方开具合同等额发票）；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在没有出现产品质量或售后服务问题一年后无息付清余款（合同总价的10%）。</w:t>
            </w:r>
          </w:p>
        </w:tc>
      </w:tr>
    </w:tbl>
    <w:p>
      <w:pPr>
        <w:pStyle w:val="12"/>
        <w:keepNext w:val="0"/>
        <w:keepLines w:val="0"/>
        <w:widowControl/>
        <w:suppressLineNumbers w:val="0"/>
        <w:ind w:left="0" w:firstLine="0"/>
      </w:pP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8、交货方式:</w:t>
      </w:r>
    </w:p>
    <w:p>
      <w:pPr>
        <w:pStyle w:val="12"/>
        <w:keepNext w:val="0"/>
        <w:keepLines w:val="0"/>
        <w:widowControl/>
        <w:suppressLineNumbers w:val="0"/>
        <w:ind w:left="0" w:firstLine="240"/>
      </w:pPr>
      <w:r>
        <w:rPr>
          <w:rFonts w:hint="eastAsia" w:ascii="宋体" w:hAnsi="宋体" w:eastAsia="宋体" w:cs="宋体"/>
          <w:sz w:val="24"/>
          <w:szCs w:val="24"/>
        </w:rPr>
        <w:t>（1）、交货时间：以采购单位书面通知之日起20日内安装调试完毕验收合格交付使用。</w:t>
      </w:r>
    </w:p>
    <w:p>
      <w:pPr>
        <w:pStyle w:val="12"/>
        <w:keepNext w:val="0"/>
        <w:keepLines w:val="0"/>
        <w:widowControl/>
        <w:suppressLineNumbers w:val="0"/>
        <w:ind w:left="0" w:firstLine="240"/>
      </w:pPr>
      <w:r>
        <w:rPr>
          <w:rFonts w:hint="eastAsia" w:ascii="宋体" w:hAnsi="宋体" w:eastAsia="宋体" w:cs="宋体"/>
          <w:sz w:val="24"/>
          <w:szCs w:val="24"/>
        </w:rPr>
        <w:t>（2）、交货地点：</w:t>
      </w:r>
      <w:r>
        <w:rPr>
          <w:rStyle w:val="16"/>
          <w:rFonts w:ascii="宋体" w:hAnsi="宋体" w:eastAsia="宋体" w:cs="宋体"/>
          <w:i w:val="0"/>
          <w:caps w:val="0"/>
          <w:color w:val="000000"/>
          <w:spacing w:val="0"/>
          <w:sz w:val="24"/>
          <w:szCs w:val="24"/>
        </w:rPr>
        <w:t>福建省三明市建宁县黄舟坊南路32号</w:t>
      </w:r>
      <w:r>
        <w:rPr>
          <w:rStyle w:val="16"/>
          <w:rFonts w:hint="eastAsia" w:ascii="宋体" w:hAnsi="宋体" w:eastAsia="宋体" w:cs="宋体"/>
          <w:sz w:val="24"/>
          <w:szCs w:val="24"/>
        </w:rPr>
        <w:t xml:space="preserve"> </w:t>
      </w:r>
    </w:p>
    <w:p>
      <w:pPr>
        <w:pStyle w:val="12"/>
        <w:keepNext w:val="0"/>
        <w:keepLines w:val="0"/>
        <w:widowControl/>
        <w:suppressLineNumbers w:val="0"/>
        <w:ind w:left="0" w:firstLine="240"/>
      </w:pPr>
      <w:r>
        <w:rPr>
          <w:rFonts w:hint="eastAsia" w:ascii="宋体" w:hAnsi="宋体" w:eastAsia="宋体" w:cs="宋体"/>
          <w:sz w:val="24"/>
          <w:szCs w:val="24"/>
        </w:rPr>
        <w:t>（3）、现场交货：货物到达现场后，由采购人进行基本质量和数量检验合格</w:t>
      </w:r>
      <w:bookmarkStart w:id="14" w:name="_GoBack"/>
      <w:bookmarkEnd w:id="14"/>
      <w:r>
        <w:rPr>
          <w:rFonts w:hint="eastAsia" w:ascii="宋体" w:hAnsi="宋体" w:eastAsia="宋体" w:cs="宋体"/>
          <w:sz w:val="24"/>
          <w:szCs w:val="24"/>
        </w:rPr>
        <w:t>即为现场交货。</w:t>
      </w:r>
    </w:p>
    <w:p>
      <w:pPr>
        <w:pStyle w:val="12"/>
        <w:keepNext w:val="0"/>
        <w:keepLines w:val="0"/>
        <w:widowControl/>
        <w:suppressLineNumbers w:val="0"/>
        <w:ind w:left="0" w:firstLine="240"/>
      </w:pPr>
      <w:r>
        <w:rPr>
          <w:rFonts w:hint="eastAsia" w:ascii="宋体" w:hAnsi="宋体" w:eastAsia="宋体" w:cs="宋体"/>
          <w:sz w:val="24"/>
          <w:szCs w:val="24"/>
        </w:rPr>
        <w:t>（4）、最终交货：产品安装调试结束，经采购方现场验收合格视为最终验收合格日即为最终交货。</w:t>
      </w:r>
    </w:p>
    <w:p>
      <w:pPr>
        <w:pStyle w:val="12"/>
        <w:keepNext w:val="0"/>
        <w:keepLines w:val="0"/>
        <w:widowControl/>
        <w:suppressLineNumbers w:val="0"/>
        <w:ind w:left="0" w:firstLine="240"/>
      </w:pPr>
      <w:r>
        <w:rPr>
          <w:rFonts w:hint="eastAsia" w:ascii="宋体" w:hAnsi="宋体" w:eastAsia="宋体" w:cs="宋体"/>
          <w:sz w:val="24"/>
          <w:szCs w:val="24"/>
        </w:rPr>
        <w:t>(5)、验收前所有各项费用均由中标方承担。</w:t>
      </w:r>
    </w:p>
    <w:p>
      <w:pPr>
        <w:pStyle w:val="12"/>
        <w:keepNext w:val="0"/>
        <w:keepLines w:val="0"/>
        <w:widowControl/>
        <w:suppressLineNumbers w:val="0"/>
        <w:ind w:left="0" w:firstLine="240"/>
        <w:rPr>
          <w:rFonts w:hint="eastAsia" w:ascii="宋体" w:hAnsi="宋体" w:eastAsia="宋体" w:cs="宋体"/>
          <w:sz w:val="24"/>
          <w:szCs w:val="24"/>
        </w:rPr>
      </w:pPr>
      <w:r>
        <w:rPr>
          <w:rFonts w:hint="eastAsia" w:ascii="宋体" w:hAnsi="宋体" w:eastAsia="宋体" w:cs="宋体"/>
          <w:sz w:val="24"/>
          <w:szCs w:val="24"/>
        </w:rPr>
        <w:t>(6)、违约：中标人在规定时间内不能按时将设备交付采购人使用，每天按合同总额的1%支付给采购方逾期违约金；延期超过7天，按合同总额的2%支付给采购方逾期违约金；超过15天，按合同的3%付给采购方逾期违约金；超过60天，按合同总额的5%支付给采购方逾期违约金。</w:t>
      </w:r>
    </w:p>
    <w:p>
      <w:pPr>
        <w:pStyle w:val="12"/>
        <w:keepNext w:val="0"/>
        <w:keepLines w:val="0"/>
        <w:widowControl/>
        <w:suppressLineNumbers w:val="0"/>
      </w:pPr>
      <w:r>
        <w:rPr>
          <w:rStyle w:val="16"/>
          <w:rFonts w:hint="eastAsia" w:ascii="宋体" w:hAnsi="宋体" w:eastAsia="宋体" w:cs="宋体"/>
          <w:sz w:val="24"/>
          <w:szCs w:val="24"/>
        </w:rPr>
        <w:t>9、安装（系统集成）、调试要求</w:t>
      </w:r>
    </w:p>
    <w:p>
      <w:pPr>
        <w:pStyle w:val="12"/>
        <w:keepNext w:val="0"/>
        <w:keepLines w:val="0"/>
        <w:widowControl/>
        <w:suppressLineNumbers w:val="0"/>
        <w:ind w:left="0" w:firstLine="360"/>
      </w:pPr>
      <w:r>
        <w:rPr>
          <w:rFonts w:hint="eastAsia" w:ascii="宋体" w:hAnsi="宋体" w:eastAsia="宋体" w:cs="宋体"/>
          <w:sz w:val="24"/>
          <w:szCs w:val="24"/>
        </w:rPr>
        <w:t>（1）、中标人应在货物运抵现场一周前，向采购人提供安装进度计划表及需采购人配合的事项。</w:t>
      </w:r>
    </w:p>
    <w:p>
      <w:pPr>
        <w:pStyle w:val="12"/>
        <w:keepNext w:val="0"/>
        <w:keepLines w:val="0"/>
        <w:widowControl/>
        <w:suppressLineNumbers w:val="0"/>
        <w:ind w:left="0" w:firstLine="360"/>
      </w:pPr>
      <w:r>
        <w:rPr>
          <w:rFonts w:hint="eastAsia" w:ascii="宋体" w:hAnsi="宋体" w:eastAsia="宋体" w:cs="宋体"/>
          <w:sz w:val="24"/>
          <w:szCs w:val="24"/>
        </w:rPr>
        <w:t>（2）、中标人负责将全部货物运到采购人指 定的项目地点，货物到达项目地点后，采购人按照招标文件要求对货物进行初验，若发现中标人未按招标文件要求供货，采购人有权要求中标人更换及赔偿所造成的损失。</w:t>
      </w:r>
    </w:p>
    <w:p>
      <w:pPr>
        <w:pStyle w:val="12"/>
        <w:keepNext w:val="0"/>
        <w:keepLines w:val="0"/>
        <w:widowControl/>
        <w:suppressLineNumbers w:val="0"/>
        <w:ind w:left="0" w:firstLine="360"/>
      </w:pPr>
      <w:r>
        <w:rPr>
          <w:rFonts w:hint="eastAsia" w:ascii="宋体" w:hAnsi="宋体" w:eastAsia="宋体" w:cs="宋体"/>
          <w:sz w:val="24"/>
          <w:szCs w:val="24"/>
        </w:rPr>
        <w:t xml:space="preserve">（3）、中标人应在货物运抵现场三天前，中标人要向采购人提供完整的安装(系统集成)方案，方案应包括安装(系统集成)计划、工程施工方法和措施、施工进度表、施工人员配备和质量保证措施等内容。 </w:t>
      </w:r>
    </w:p>
    <w:p>
      <w:pPr>
        <w:pStyle w:val="12"/>
        <w:keepNext w:val="0"/>
        <w:keepLines w:val="0"/>
        <w:widowControl/>
        <w:suppressLineNumbers w:val="0"/>
        <w:ind w:left="0" w:firstLine="360"/>
      </w:pPr>
      <w:r>
        <w:rPr>
          <w:rFonts w:hint="eastAsia" w:ascii="宋体" w:hAnsi="宋体" w:eastAsia="宋体" w:cs="宋体"/>
          <w:sz w:val="24"/>
          <w:szCs w:val="24"/>
        </w:rPr>
        <w:t>（4）、货物到达采购人指 定的项目地点后，中标人应在3天内派技术人员到项目地点进行安装（系统集成）、调试、运行，建立相关档案资料。安装调试合格后交付使用。安装期间，中标人应至少有1名项目工程师负责安装现场的指导和协调。这个人项目地点应提供必需的基本条件和专人配合，保证安装工作顺利进行。</w:t>
      </w:r>
    </w:p>
    <w:p>
      <w:pPr>
        <w:pStyle w:val="12"/>
        <w:keepNext w:val="0"/>
        <w:keepLines w:val="0"/>
        <w:widowControl/>
        <w:suppressLineNumbers w:val="0"/>
        <w:ind w:left="0" w:firstLine="360"/>
      </w:pPr>
      <w:r>
        <w:rPr>
          <w:rFonts w:hint="eastAsia" w:ascii="宋体" w:hAnsi="宋体" w:eastAsia="宋体" w:cs="宋体"/>
          <w:sz w:val="24"/>
          <w:szCs w:val="24"/>
        </w:rPr>
        <w:t xml:space="preserve">（5）、中标人签订合同后，应以书面形式通知用户方准备好安装（系统集成）前所需的配套设施，如：桌椅、电力等。 </w:t>
      </w:r>
    </w:p>
    <w:p>
      <w:pPr>
        <w:pStyle w:val="12"/>
        <w:keepNext w:val="0"/>
        <w:keepLines w:val="0"/>
        <w:widowControl/>
        <w:suppressLineNumbers w:val="0"/>
        <w:ind w:left="0" w:firstLine="360"/>
      </w:pPr>
      <w:r>
        <w:rPr>
          <w:rFonts w:hint="eastAsia" w:ascii="宋体" w:hAnsi="宋体" w:eastAsia="宋体" w:cs="宋体"/>
          <w:sz w:val="24"/>
          <w:szCs w:val="24"/>
        </w:rPr>
        <w:t>（6）、中标人必须加强制作、运输及安装施工过程中的安全防护，在此过程中，如因中标人原因导致的双方及第三方的任何人身、设备安全事故及财产损失均由中标人负全责。</w:t>
      </w:r>
    </w:p>
    <w:p>
      <w:pPr>
        <w:pStyle w:val="12"/>
        <w:keepNext w:val="0"/>
        <w:keepLines w:val="0"/>
        <w:widowControl/>
        <w:suppressLineNumbers w:val="0"/>
        <w:ind w:left="0" w:firstLine="360"/>
      </w:pPr>
      <w:r>
        <w:rPr>
          <w:rFonts w:hint="eastAsia" w:ascii="宋体" w:hAnsi="宋体" w:eastAsia="宋体" w:cs="宋体"/>
          <w:sz w:val="24"/>
          <w:szCs w:val="24"/>
        </w:rPr>
        <w:t>（7）、免安装费、免送货上门费。</w:t>
      </w:r>
    </w:p>
    <w:p>
      <w:pPr>
        <w:pStyle w:val="12"/>
        <w:keepNext w:val="0"/>
        <w:keepLines w:val="0"/>
        <w:widowControl/>
        <w:suppressLineNumbers w:val="0"/>
      </w:pPr>
      <w:r>
        <w:rPr>
          <w:rStyle w:val="16"/>
          <w:rFonts w:hint="eastAsia" w:ascii="宋体" w:hAnsi="宋体" w:eastAsia="宋体" w:cs="宋体"/>
          <w:sz w:val="24"/>
          <w:szCs w:val="24"/>
        </w:rPr>
        <w:t>10、人员培训</w:t>
      </w:r>
    </w:p>
    <w:p>
      <w:pPr>
        <w:pStyle w:val="12"/>
        <w:keepNext w:val="0"/>
        <w:keepLines w:val="0"/>
        <w:widowControl/>
        <w:suppressLineNumbers w:val="0"/>
        <w:ind w:left="0" w:firstLine="480"/>
      </w:pPr>
      <w:r>
        <w:rPr>
          <w:rFonts w:hint="eastAsia" w:ascii="宋体" w:hAnsi="宋体" w:eastAsia="宋体" w:cs="宋体"/>
          <w:sz w:val="24"/>
          <w:szCs w:val="24"/>
        </w:rPr>
        <w:t>中标人应安排专业技术人员免费对业主技术人员进行使用操作、设备维修、保养等技术培训，直至采购人的技术人员能熟练独立操作为止，培训详细内容，需书面提交业主存档。其间所发生的一切培训费包括中标方人员一切费用（包含住宿、交通、生活补助等）由中标人承担。中标人应长期提供培训、维护等技术支持。 </w:t>
      </w:r>
    </w:p>
    <w:p>
      <w:pPr>
        <w:pStyle w:val="12"/>
        <w:keepNext w:val="0"/>
        <w:keepLines w:val="0"/>
        <w:widowControl/>
        <w:suppressLineNumbers w:val="0"/>
      </w:pPr>
      <w:r>
        <w:rPr>
          <w:rStyle w:val="16"/>
          <w:rFonts w:hint="eastAsia" w:ascii="宋体" w:hAnsi="宋体" w:eastAsia="宋体" w:cs="宋体"/>
          <w:sz w:val="24"/>
          <w:szCs w:val="24"/>
        </w:rPr>
        <w:t>11、质保期和售 后服务要求</w:t>
      </w:r>
    </w:p>
    <w:p>
      <w:pPr>
        <w:pStyle w:val="12"/>
        <w:keepNext w:val="0"/>
        <w:keepLines w:val="0"/>
        <w:widowControl/>
        <w:suppressLineNumbers w:val="0"/>
        <w:ind w:left="0" w:firstLine="480"/>
      </w:pPr>
      <w:r>
        <w:rPr>
          <w:rFonts w:hint="eastAsia" w:ascii="宋体" w:hAnsi="宋体" w:eastAsia="宋体" w:cs="宋体"/>
          <w:sz w:val="24"/>
          <w:szCs w:val="24"/>
        </w:rPr>
        <w:t>（1）、硬件部分自项目货物验收合格之日起，要求中标方提供三年的质量保证，三年内免费上门保修，终身维护。</w:t>
      </w:r>
    </w:p>
    <w:p>
      <w:pPr>
        <w:pStyle w:val="12"/>
        <w:keepNext w:val="0"/>
        <w:keepLines w:val="0"/>
        <w:widowControl/>
        <w:suppressLineNumbers w:val="0"/>
        <w:ind w:left="0" w:firstLine="480"/>
      </w:pPr>
      <w:r>
        <w:rPr>
          <w:rFonts w:hint="eastAsia" w:ascii="宋体" w:hAnsi="宋体" w:eastAsia="宋体" w:cs="宋体"/>
          <w:sz w:val="24"/>
          <w:szCs w:val="24"/>
        </w:rPr>
        <w:t>（2）、除特别注明的要求外，本项目其他所投产品自项目货物验收合格之日起，要求中标人和原厂商提供产品三年的质量保证，三年内免费上门保修，终身维护；</w:t>
      </w:r>
    </w:p>
    <w:p>
      <w:pPr>
        <w:pStyle w:val="12"/>
        <w:keepNext w:val="0"/>
        <w:keepLines w:val="0"/>
        <w:widowControl/>
        <w:suppressLineNumbers w:val="0"/>
        <w:ind w:left="0" w:firstLine="480"/>
      </w:pPr>
      <w:r>
        <w:rPr>
          <w:rFonts w:hint="eastAsia" w:ascii="宋体" w:hAnsi="宋体" w:eastAsia="宋体" w:cs="宋体"/>
          <w:sz w:val="24"/>
          <w:szCs w:val="24"/>
        </w:rPr>
        <w:t>（3）、质保期内需要更换的零配件由中标人免费提供。</w:t>
      </w:r>
    </w:p>
    <w:p>
      <w:pPr>
        <w:pStyle w:val="12"/>
        <w:keepNext w:val="0"/>
        <w:keepLines w:val="0"/>
        <w:widowControl/>
        <w:suppressLineNumbers w:val="0"/>
        <w:ind w:left="0" w:firstLine="480"/>
      </w:pPr>
      <w:r>
        <w:rPr>
          <w:rFonts w:hint="eastAsia" w:ascii="宋体" w:hAnsi="宋体" w:eastAsia="宋体" w:cs="宋体"/>
          <w:sz w:val="24"/>
          <w:szCs w:val="24"/>
        </w:rPr>
        <w:t>（4）、若产品出现质量问题时，中标人响应时间应为24小时以内，72小时内修复使用；若72小时无法排除故障的，则应提供相应的备用设备以保证用户方的正常使用。</w:t>
      </w:r>
    </w:p>
    <w:p>
      <w:pPr>
        <w:pStyle w:val="12"/>
        <w:keepNext w:val="0"/>
        <w:keepLines w:val="0"/>
        <w:widowControl/>
        <w:suppressLineNumbers w:val="0"/>
        <w:ind w:left="0" w:firstLine="480"/>
      </w:pPr>
      <w:r>
        <w:rPr>
          <w:rFonts w:hint="eastAsia" w:ascii="宋体" w:hAnsi="宋体" w:eastAsia="宋体" w:cs="宋体"/>
          <w:sz w:val="24"/>
          <w:szCs w:val="24"/>
        </w:rPr>
        <w:t>（5）、投标人应根据招标文件的质量保证、售 后服务基本要求，对投标产品的质量保证、免费保修期、特殊保修条款、有偿服务范围和免费更换配件等作出明确承诺和说明。各投标人还可视自身能力在投标文件中可提供更优、更合理的售 后服务计划（含质保期时间）和内容。</w:t>
      </w:r>
    </w:p>
    <w:p>
      <w:pPr>
        <w:pStyle w:val="12"/>
        <w:keepNext w:val="0"/>
        <w:keepLines w:val="0"/>
        <w:widowControl/>
        <w:suppressLineNumbers w:val="0"/>
        <w:ind w:left="0" w:firstLine="480"/>
      </w:pPr>
      <w:r>
        <w:rPr>
          <w:rFonts w:hint="eastAsia" w:ascii="宋体" w:hAnsi="宋体" w:eastAsia="宋体" w:cs="宋体"/>
          <w:sz w:val="24"/>
          <w:szCs w:val="24"/>
        </w:rPr>
        <w:t>（6）、投标人在投标文件中必须明确承诺：如果中标，硬件设备在质量保证期结束后仍提供优质服务，进行定期维护和修理，并只收取成本费(包括零配件)。 </w:t>
      </w:r>
    </w:p>
    <w:p>
      <w:pPr>
        <w:pStyle w:val="12"/>
        <w:keepNext w:val="0"/>
        <w:keepLines w:val="0"/>
        <w:widowControl/>
        <w:suppressLineNumbers w:val="0"/>
        <w:ind w:left="0" w:firstLine="600"/>
      </w:pPr>
      <w:r>
        <w:rPr>
          <w:rFonts w:hint="eastAsia" w:ascii="宋体" w:hAnsi="宋体" w:eastAsia="宋体" w:cs="宋体"/>
          <w:sz w:val="24"/>
          <w:szCs w:val="24"/>
        </w:rPr>
        <w:t>（7）、质保期后，中标人应提供或指 定维护机构对货物进行定期维护和修理，能在采购人提出问题后一日内给予答复，并在一周内派人到现场进行货物故障的维修。</w:t>
      </w:r>
    </w:p>
    <w:p>
      <w:pPr>
        <w:pStyle w:val="12"/>
        <w:keepNext w:val="0"/>
        <w:keepLines w:val="0"/>
        <w:widowControl/>
        <w:suppressLineNumbers w:val="0"/>
        <w:ind w:left="0" w:firstLine="600"/>
      </w:pPr>
      <w:r>
        <w:rPr>
          <w:rFonts w:hint="eastAsia" w:ascii="宋体" w:hAnsi="宋体" w:eastAsia="宋体" w:cs="宋体"/>
          <w:sz w:val="24"/>
          <w:szCs w:val="24"/>
        </w:rPr>
        <w:t>（8）、生产厂家应在福建省内设有服务和维修站，至少有二名以上常驻工程师，以确保安装和售 后服务由生产厂家直接完成。要求列出维修站地址电话、常驻工程师联系方式、售 后服务人员名单、维修经验、维修受理联系电话等等相关资料。</w:t>
      </w:r>
    </w:p>
    <w:p>
      <w:pPr>
        <w:pStyle w:val="12"/>
        <w:keepNext w:val="0"/>
        <w:keepLines w:val="0"/>
        <w:widowControl/>
        <w:suppressLineNumbers w:val="0"/>
        <w:ind w:left="0" w:firstLine="600"/>
      </w:pPr>
      <w:r>
        <w:rPr>
          <w:rFonts w:hint="eastAsia" w:ascii="宋体" w:hAnsi="宋体" w:eastAsia="宋体" w:cs="宋体"/>
          <w:sz w:val="24"/>
          <w:szCs w:val="24"/>
        </w:rPr>
        <w:t>（9）、即时维修诊断或远程遥控维修系统，应能提供每周7×24小时的全天候售 后服务，并确保有专人受理。</w:t>
      </w:r>
    </w:p>
    <w:p>
      <w:pPr>
        <w:pStyle w:val="12"/>
        <w:keepNext w:val="0"/>
        <w:keepLines w:val="0"/>
        <w:widowControl/>
        <w:suppressLineNumbers w:val="0"/>
        <w:ind w:left="0" w:firstLine="480"/>
      </w:pPr>
      <w:r>
        <w:rPr>
          <w:rFonts w:hint="eastAsia" w:ascii="宋体" w:hAnsi="宋体" w:eastAsia="宋体" w:cs="宋体"/>
          <w:sz w:val="24"/>
          <w:szCs w:val="24"/>
        </w:rPr>
        <w:t>（10）、</w:t>
      </w:r>
      <w:r>
        <w:rPr>
          <w:rStyle w:val="16"/>
          <w:rFonts w:hint="eastAsia" w:ascii="宋体" w:hAnsi="宋体" w:eastAsia="宋体" w:cs="宋体"/>
          <w:sz w:val="24"/>
          <w:szCs w:val="24"/>
        </w:rPr>
        <w:t>技术资料要求：</w:t>
      </w:r>
      <w:r>
        <w:rPr>
          <w:rFonts w:hint="eastAsia" w:ascii="宋体" w:hAnsi="宋体" w:eastAsia="宋体" w:cs="宋体"/>
          <w:sz w:val="24"/>
          <w:szCs w:val="24"/>
        </w:rPr>
        <w:t>中标人应向用户方提供以下原包装箱内的所有原厂资料及附件，进口设备应配有中文资料一套（如果厂家有的话），其费用包括在投标价格中：</w:t>
      </w:r>
    </w:p>
    <w:p>
      <w:pPr>
        <w:pStyle w:val="12"/>
        <w:keepNext w:val="0"/>
        <w:keepLines w:val="0"/>
        <w:widowControl/>
        <w:suppressLineNumbers w:val="0"/>
        <w:ind w:left="0" w:firstLine="480"/>
      </w:pPr>
      <w:r>
        <w:rPr>
          <w:rFonts w:hint="eastAsia" w:ascii="宋体" w:hAnsi="宋体" w:eastAsia="宋体" w:cs="宋体"/>
          <w:sz w:val="24"/>
          <w:szCs w:val="24"/>
        </w:rPr>
        <w:t>①、产品验收标准；②、技术说明书；③、使用说明书；④、设备安装、调试、维修线路原理图；⑤、零部件目录；⑥、备品备件、易损件清单；⑦、安装、维修及操作手册；⑧、合同中要求的其他文件资料。</w:t>
      </w:r>
    </w:p>
    <w:p>
      <w:pPr>
        <w:pStyle w:val="12"/>
        <w:keepNext w:val="0"/>
        <w:keepLines w:val="0"/>
        <w:widowControl/>
        <w:suppressLineNumbers w:val="0"/>
        <w:ind w:left="0" w:firstLine="480"/>
      </w:pPr>
      <w:r>
        <w:rPr>
          <w:rFonts w:hint="eastAsia" w:ascii="宋体" w:hAnsi="宋体" w:eastAsia="宋体" w:cs="宋体"/>
          <w:sz w:val="24"/>
          <w:szCs w:val="24"/>
        </w:rPr>
        <w:t>（11）、专用工具：中标人应提供一套维修所需要的专用工具（若有）及其清单。</w:t>
      </w:r>
    </w:p>
    <w:p>
      <w:pPr>
        <w:pStyle w:val="12"/>
        <w:keepNext w:val="0"/>
        <w:keepLines w:val="0"/>
        <w:widowControl/>
        <w:suppressLineNumbers w:val="0"/>
        <w:ind w:left="0" w:firstLine="480"/>
      </w:pPr>
      <w:r>
        <w:rPr>
          <w:rFonts w:hint="eastAsia" w:ascii="宋体" w:hAnsi="宋体" w:eastAsia="宋体" w:cs="宋体"/>
          <w:sz w:val="24"/>
          <w:szCs w:val="24"/>
        </w:rPr>
        <w:t>（12）、配件供应：中标人应提供国内有配件仓库(注明配件仓库详细地址及电话)，提供设备常用易耗品配件、清单（含价格清单），并承诺设备停产后5年内供应配件.</w:t>
      </w:r>
    </w:p>
    <w:p>
      <w:pPr>
        <w:pStyle w:val="12"/>
        <w:keepNext w:val="0"/>
        <w:keepLines w:val="0"/>
        <w:widowControl/>
        <w:suppressLineNumbers w:val="0"/>
        <w:ind w:left="0" w:firstLine="480"/>
      </w:pPr>
      <w:r>
        <w:rPr>
          <w:rFonts w:hint="eastAsia" w:ascii="宋体" w:hAnsi="宋体" w:eastAsia="宋体" w:cs="宋体"/>
          <w:sz w:val="24"/>
          <w:szCs w:val="24"/>
        </w:rPr>
        <w:t>（13）、到货后，如发现设备未能满足以上要求，采购人方有权要求退货，同时中标人必须赔偿需方所造成的经济损失，为整机价格的10%。</w:t>
      </w:r>
    </w:p>
    <w:p>
      <w:pPr>
        <w:pStyle w:val="12"/>
        <w:keepNext w:val="0"/>
        <w:keepLines w:val="0"/>
        <w:widowControl/>
        <w:suppressLineNumbers w:val="0"/>
      </w:pPr>
      <w:r>
        <w:rPr>
          <w:rFonts w:hint="eastAsia" w:ascii="宋体" w:hAnsi="宋体" w:eastAsia="宋体" w:cs="宋体"/>
          <w:sz w:val="21"/>
          <w:szCs w:val="21"/>
        </w:rPr>
        <w:t> </w:t>
      </w:r>
    </w:p>
    <w:p>
      <w:pPr>
        <w:pStyle w:val="12"/>
        <w:keepNext w:val="0"/>
        <w:keepLines w:val="0"/>
        <w:widowControl/>
        <w:suppressLineNumbers w:val="0"/>
      </w:pPr>
    </w:p>
    <w:p>
      <w:pPr>
        <w:pStyle w:val="12"/>
        <w:keepNext w:val="0"/>
        <w:keepLines w:val="0"/>
        <w:widowControl/>
        <w:suppressLineNumbers w:val="0"/>
      </w:pPr>
      <w:r>
        <w:rPr>
          <w:rFonts w:hint="eastAsia" w:ascii="宋体" w:hAnsi="宋体" w:eastAsia="宋体" w:cs="宋体"/>
          <w:sz w:val="24"/>
          <w:szCs w:val="24"/>
        </w:rPr>
        <w:t>四、其他事项</w:t>
      </w:r>
    </w:p>
    <w:p>
      <w:pPr>
        <w:pStyle w:val="12"/>
        <w:keepNext w:val="0"/>
        <w:keepLines w:val="0"/>
        <w:widowControl/>
        <w:suppressLineNumbers w:val="0"/>
        <w:ind w:left="0" w:firstLine="540"/>
      </w:pPr>
      <w:r>
        <w:rPr>
          <w:rFonts w:hint="eastAsia" w:ascii="宋体" w:hAnsi="宋体" w:eastAsia="宋体" w:cs="宋体"/>
          <w:sz w:val="24"/>
          <w:szCs w:val="24"/>
        </w:rPr>
        <w:t>1、投标人须列明投标货物的全套系统配置清单及单价。</w:t>
      </w:r>
    </w:p>
    <w:p>
      <w:pPr>
        <w:pStyle w:val="12"/>
        <w:keepNext w:val="0"/>
        <w:keepLines w:val="0"/>
        <w:widowControl/>
        <w:suppressLineNumbers w:val="0"/>
        <w:ind w:left="0" w:firstLine="540"/>
      </w:pPr>
      <w:r>
        <w:rPr>
          <w:rFonts w:hint="eastAsia" w:ascii="宋体" w:hAnsi="宋体" w:eastAsia="宋体" w:cs="宋体"/>
          <w:sz w:val="24"/>
          <w:szCs w:val="24"/>
        </w:rPr>
        <w:t>2、投标人选定的投标货物技术性能必须符合或优于招标文件的技术性能要求。</w:t>
      </w:r>
    </w:p>
    <w:p>
      <w:pPr>
        <w:pStyle w:val="12"/>
        <w:keepNext w:val="0"/>
        <w:keepLines w:val="0"/>
        <w:widowControl/>
        <w:suppressLineNumbers w:val="0"/>
        <w:ind w:left="0" w:firstLine="540"/>
      </w:pPr>
      <w:r>
        <w:rPr>
          <w:rFonts w:hint="eastAsia" w:ascii="宋体" w:hAnsi="宋体" w:eastAsia="宋体" w:cs="宋体"/>
          <w:sz w:val="24"/>
          <w:szCs w:val="24"/>
        </w:rPr>
        <w:t>3、投标人应根据招标文件的技术要求条款，在投标文件中详细说明所提供设备的品 牌、技术规格和参数、产地。</w:t>
      </w:r>
    </w:p>
    <w:p>
      <w:pPr>
        <w:pStyle w:val="12"/>
        <w:keepNext w:val="0"/>
        <w:keepLines w:val="0"/>
        <w:widowControl/>
        <w:suppressLineNumbers w:val="0"/>
        <w:ind w:left="0" w:firstLine="540"/>
      </w:pPr>
      <w:r>
        <w:rPr>
          <w:rFonts w:hint="eastAsia" w:ascii="宋体" w:hAnsi="宋体" w:eastAsia="宋体" w:cs="宋体"/>
          <w:sz w:val="24"/>
          <w:szCs w:val="24"/>
        </w:rPr>
        <w:t>4、本文所述技术要求，应保证货物所需的最低要求，如有遗漏，投标人应予以补充，否则，一旦中标将认为投标人认同遗漏部分并免费提供。</w:t>
      </w:r>
    </w:p>
    <w:p>
      <w:pPr>
        <w:pStyle w:val="12"/>
        <w:keepNext w:val="0"/>
        <w:keepLines w:val="0"/>
        <w:widowControl/>
        <w:suppressLineNumbers w:val="0"/>
        <w:ind w:left="0" w:firstLine="540"/>
      </w:pPr>
      <w:r>
        <w:rPr>
          <w:rFonts w:hint="eastAsia" w:ascii="宋体" w:hAnsi="宋体" w:eastAsia="宋体" w:cs="宋体"/>
          <w:sz w:val="24"/>
          <w:szCs w:val="24"/>
        </w:rPr>
        <w:t>5、投标人报价应包含货物的制造、包装、运输、装卸、保险、安装、调试、验收、人员培训、检验、税金等一切费用。</w:t>
      </w:r>
    </w:p>
    <w:p>
      <w:pPr>
        <w:pStyle w:val="12"/>
        <w:keepNext w:val="0"/>
        <w:keepLines w:val="0"/>
        <w:widowControl/>
        <w:suppressLineNumbers w:val="0"/>
        <w:ind w:left="0" w:firstLine="540"/>
      </w:pPr>
      <w:r>
        <w:rPr>
          <w:rFonts w:hint="eastAsia" w:ascii="宋体" w:hAnsi="宋体" w:eastAsia="宋体" w:cs="宋体"/>
          <w:sz w:val="24"/>
          <w:szCs w:val="24"/>
        </w:rPr>
        <w:t>6、本技术要求中所发生的一切费用均包含在报价中。</w:t>
      </w:r>
    </w:p>
    <w:p>
      <w:pPr>
        <w:pStyle w:val="12"/>
        <w:keepNext w:val="0"/>
        <w:keepLines w:val="0"/>
        <w:widowControl/>
        <w:suppressLineNumbers w:val="0"/>
        <w:spacing w:after="240" w:afterAutospacing="0"/>
        <w:ind w:left="0" w:firstLine="480"/>
      </w:pPr>
      <w:r>
        <w:rPr>
          <w:rFonts w:hint="eastAsia" w:ascii="宋体" w:hAnsi="宋体" w:eastAsia="宋体" w:cs="宋体"/>
          <w:sz w:val="24"/>
          <w:szCs w:val="24"/>
        </w:rPr>
        <w:t> 7、投标人的销售产品必须符合国家对有关产品的标准规定。</w:t>
      </w:r>
    </w:p>
    <w:p>
      <w:pPr>
        <w:pStyle w:val="12"/>
        <w:keepNext w:val="0"/>
        <w:keepLines w:val="0"/>
        <w:widowControl/>
        <w:suppressLineNumbers w:val="0"/>
        <w:ind w:left="0" w:firstLine="240"/>
        <w:rPr>
          <w:rFonts w:hint="eastAsia" w:ascii="宋体" w:hAnsi="宋体" w:eastAsia="宋体" w:cs="宋体"/>
          <w:sz w:val="24"/>
          <w:szCs w:val="24"/>
        </w:rPr>
      </w:pPr>
    </w:p>
    <w:p>
      <w:pPr>
        <w:widowControl/>
        <w:shd w:val="clear" w:color="auto" w:fill="FFFFFF"/>
        <w:spacing w:line="360" w:lineRule="auto"/>
        <w:jc w:val="left"/>
        <w:rPr>
          <w:rFonts w:ascii="宋体" w:hAnsi="宋体" w:eastAsia="宋体" w:cs="宋体"/>
          <w:bCs/>
          <w:kern w:val="0"/>
          <w:sz w:val="24"/>
          <w:szCs w:val="24"/>
        </w:rPr>
      </w:pPr>
    </w:p>
    <w:p>
      <w:pPr>
        <w:pStyle w:val="2"/>
      </w:pPr>
      <w:bookmarkStart w:id="5" w:name="_Toc32273"/>
      <w:r>
        <w:t>第</w:t>
      </w:r>
      <w:r>
        <w:rPr>
          <w:rFonts w:hint="eastAsia"/>
        </w:rPr>
        <w:t>四</w:t>
      </w:r>
      <w:r>
        <w:t>章</w:t>
      </w:r>
      <w:r>
        <w:rPr>
          <w:rFonts w:hint="eastAsia"/>
        </w:rPr>
        <w:t xml:space="preserve"> </w:t>
      </w:r>
      <w:r>
        <w:t>响应文件格式</w:t>
      </w:r>
      <w:bookmarkEnd w:id="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6" w:name="_Toc28532"/>
      <w:r>
        <w:rPr>
          <w:rFonts w:cs="Calibri"/>
        </w:rPr>
        <w:t>一</w:t>
      </w:r>
      <w:r>
        <w:t>、投标函</w:t>
      </w:r>
      <w:bookmarkEnd w:id="6"/>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8501"/>
      <w:r>
        <w:rPr>
          <w:rFonts w:hint="eastAsia"/>
        </w:rPr>
        <w:t>二</w:t>
      </w:r>
      <w:r>
        <w:t>、报价表</w:t>
      </w:r>
      <w:bookmarkEnd w:id="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val="en-US" w:eastAsia="zh-CN"/>
              </w:rPr>
            </w:pPr>
            <w:r>
              <w:rPr>
                <w:rFonts w:hint="eastAsia"/>
                <w:vertAlign w:val="baseline"/>
                <w:lang w:val="en-US" w:eastAsia="zh-CN"/>
              </w:rPr>
              <w:t>合同包</w:t>
            </w:r>
          </w:p>
        </w:tc>
        <w:tc>
          <w:tcPr>
            <w:tcW w:w="1420" w:type="dxa"/>
          </w:tcPr>
          <w:p>
            <w:pPr>
              <w:rPr>
                <w:rFonts w:hint="eastAsia" w:eastAsiaTheme="minorEastAsia"/>
                <w:vertAlign w:val="baseline"/>
                <w:lang w:eastAsia="zh-CN"/>
              </w:rPr>
            </w:pPr>
            <w:r>
              <w:rPr>
                <w:rFonts w:hint="eastAsia"/>
                <w:vertAlign w:val="baseline"/>
                <w:lang w:eastAsia="zh-CN"/>
              </w:rPr>
              <w:t>品目号</w:t>
            </w:r>
          </w:p>
        </w:tc>
        <w:tc>
          <w:tcPr>
            <w:tcW w:w="1420" w:type="dxa"/>
          </w:tcPr>
          <w:p>
            <w:pPr>
              <w:rPr>
                <w:rFonts w:hint="eastAsia" w:eastAsiaTheme="minorEastAsia"/>
                <w:vertAlign w:val="baseline"/>
                <w:lang w:eastAsia="zh-CN"/>
              </w:rPr>
            </w:pPr>
            <w:r>
              <w:rPr>
                <w:rFonts w:hint="eastAsia"/>
                <w:vertAlign w:val="baseline"/>
                <w:lang w:eastAsia="zh-CN"/>
              </w:rPr>
              <w:t>采购标的</w:t>
            </w:r>
          </w:p>
        </w:tc>
        <w:tc>
          <w:tcPr>
            <w:tcW w:w="1420" w:type="dxa"/>
          </w:tcPr>
          <w:p>
            <w:pPr>
              <w:rPr>
                <w:rFonts w:hint="eastAsia" w:eastAsiaTheme="minorEastAsia"/>
                <w:vertAlign w:val="baseline"/>
                <w:lang w:eastAsia="zh-CN"/>
              </w:rPr>
            </w:pPr>
            <w:r>
              <w:rPr>
                <w:rFonts w:hint="eastAsia"/>
                <w:vertAlign w:val="baseline"/>
                <w:lang w:eastAsia="zh-CN"/>
              </w:rPr>
              <w:t>单价（现场）</w:t>
            </w:r>
          </w:p>
        </w:tc>
        <w:tc>
          <w:tcPr>
            <w:tcW w:w="1421" w:type="dxa"/>
          </w:tcPr>
          <w:p>
            <w:pPr>
              <w:rPr>
                <w:rFonts w:hint="eastAsia" w:eastAsiaTheme="minorEastAsia"/>
                <w:vertAlign w:val="baseline"/>
                <w:lang w:eastAsia="zh-CN"/>
              </w:rPr>
            </w:pPr>
            <w:r>
              <w:rPr>
                <w:rFonts w:hint="eastAsia"/>
                <w:vertAlign w:val="baseline"/>
                <w:lang w:eastAsia="zh-CN"/>
              </w:rPr>
              <w:t>数量</w:t>
            </w:r>
          </w:p>
        </w:tc>
        <w:tc>
          <w:tcPr>
            <w:tcW w:w="1421" w:type="dxa"/>
          </w:tcPr>
          <w:p>
            <w:pPr>
              <w:rPr>
                <w:rFonts w:hint="eastAsia" w:eastAsiaTheme="minorEastAsia"/>
                <w:vertAlign w:val="baseline"/>
                <w:lang w:eastAsia="zh-CN"/>
              </w:rPr>
            </w:pPr>
            <w:r>
              <w:rPr>
                <w:rFonts w:hint="eastAsia"/>
                <w:vertAlign w:val="baseline"/>
                <w:lang w:eastAsia="zh-CN"/>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20" w:type="dxa"/>
            <w:vMerge w:val="restart"/>
          </w:tcPr>
          <w:p>
            <w:pPr>
              <w:rPr>
                <w:rFonts w:hint="eastAsia"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tcPr>
          <w:p>
            <w:pPr>
              <w:rPr>
                <w:vertAlign w:val="baseline"/>
              </w:rPr>
            </w:pPr>
          </w:p>
        </w:tc>
        <w:tc>
          <w:tcPr>
            <w:tcW w:w="1420" w:type="dxa"/>
          </w:tcPr>
          <w:p>
            <w:pPr>
              <w:rPr>
                <w:vertAlign w:val="baseline"/>
              </w:rPr>
            </w:pPr>
          </w:p>
        </w:tc>
        <w:tc>
          <w:tcPr>
            <w:tcW w:w="1421" w:type="dxa"/>
          </w:tcPr>
          <w:p>
            <w:pPr>
              <w:rPr>
                <w:vertAlign w:val="baseline"/>
              </w:rPr>
            </w:pPr>
          </w:p>
        </w:tc>
        <w:tc>
          <w:tcPr>
            <w:tcW w:w="142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20" w:type="dxa"/>
            <w:vMerge w:val="continue"/>
          </w:tcPr>
          <w:p/>
        </w:tc>
        <w:tc>
          <w:tcPr>
            <w:tcW w:w="1420" w:type="dxa"/>
          </w:tcPr>
          <w:p>
            <w:pPr>
              <w:pStyle w:val="12"/>
              <w:keepNext w:val="0"/>
              <w:keepLines w:val="0"/>
              <w:widowControl/>
              <w:suppressLineNumbers w:val="0"/>
              <w:rPr>
                <w:rFonts w:hint="default" w:eastAsiaTheme="minorEastAsia"/>
                <w:vertAlign w:val="baseline"/>
                <w:lang w:val="en-US" w:eastAsia="zh-CN"/>
              </w:rPr>
            </w:pPr>
            <w:r>
              <w:rPr>
                <w:rFonts w:ascii="宋体" w:hAnsi="宋体" w:eastAsia="宋体" w:cs="宋体"/>
                <w:sz w:val="24"/>
                <w:szCs w:val="24"/>
              </w:rPr>
              <w:t>1-*</w:t>
            </w:r>
          </w:p>
        </w:tc>
        <w:tc>
          <w:tcPr>
            <w:tcW w:w="1420" w:type="dxa"/>
          </w:tcPr>
          <w:p>
            <w:pPr>
              <w:rPr>
                <w:vertAlign w:val="baseline"/>
              </w:rPr>
            </w:pPr>
          </w:p>
        </w:tc>
        <w:tc>
          <w:tcPr>
            <w:tcW w:w="1420" w:type="dxa"/>
          </w:tcPr>
          <w:p>
            <w:pPr>
              <w:rPr>
                <w:vertAlign w:val="baseline"/>
              </w:rPr>
            </w:pPr>
          </w:p>
        </w:tc>
        <w:tc>
          <w:tcPr>
            <w:tcW w:w="1421" w:type="dxa"/>
          </w:tcPr>
          <w:p>
            <w:pPr>
              <w:rPr>
                <w:vertAlign w:val="baseline"/>
              </w:rPr>
            </w:pPr>
          </w:p>
        </w:tc>
        <w:tc>
          <w:tcPr>
            <w:tcW w:w="142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20" w:type="dxa"/>
            <w:vMerge w:val="continue"/>
          </w:tcPr>
          <w:p>
            <w:pPr>
              <w:rPr>
                <w:vertAlign w:val="baseline"/>
              </w:rPr>
            </w:pPr>
          </w:p>
        </w:tc>
        <w:tc>
          <w:tcPr>
            <w:tcW w:w="1420" w:type="dxa"/>
          </w:tcPr>
          <w:p>
            <w:pPr>
              <w:rPr>
                <w:rFonts w:hint="default" w:eastAsiaTheme="minorEastAsia"/>
                <w:vertAlign w:val="baseline"/>
                <w:lang w:val="en-US" w:eastAsia="zh-CN"/>
              </w:rPr>
            </w:pPr>
            <w:r>
              <w:rPr>
                <w:rFonts w:hint="eastAsia"/>
                <w:vertAlign w:val="baseline"/>
                <w:lang w:val="en-US" w:eastAsia="zh-CN"/>
              </w:rPr>
              <w:t>...</w:t>
            </w:r>
          </w:p>
        </w:tc>
        <w:tc>
          <w:tcPr>
            <w:tcW w:w="1420" w:type="dxa"/>
          </w:tcPr>
          <w:p>
            <w:pPr>
              <w:rPr>
                <w:vertAlign w:val="baseline"/>
              </w:rPr>
            </w:pPr>
          </w:p>
        </w:tc>
        <w:tc>
          <w:tcPr>
            <w:tcW w:w="1420" w:type="dxa"/>
          </w:tcPr>
          <w:p>
            <w:pPr>
              <w:rPr>
                <w:vertAlign w:val="baseline"/>
              </w:rPr>
            </w:pPr>
          </w:p>
        </w:tc>
        <w:tc>
          <w:tcPr>
            <w:tcW w:w="1421" w:type="dxa"/>
          </w:tcPr>
          <w:p>
            <w:pPr>
              <w:rPr>
                <w:vertAlign w:val="baseline"/>
              </w:rPr>
            </w:pPr>
          </w:p>
        </w:tc>
        <w:tc>
          <w:tcPr>
            <w:tcW w:w="142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20" w:type="dxa"/>
            <w:vMerge w:val="continue"/>
          </w:tcPr>
          <w:p>
            <w:pPr>
              <w:rPr>
                <w:vertAlign w:val="baseline"/>
              </w:rPr>
            </w:pPr>
          </w:p>
        </w:tc>
        <w:tc>
          <w:tcPr>
            <w:tcW w:w="7102" w:type="dxa"/>
            <w:gridSpan w:val="5"/>
          </w:tcPr>
          <w:p>
            <w:pPr>
              <w:rPr>
                <w:rFonts w:hint="default" w:eastAsiaTheme="minorEastAsia"/>
                <w:u w:val="single"/>
                <w:vertAlign w:val="baseline"/>
                <w:lang w:val="en-US" w:eastAsia="zh-CN"/>
              </w:rPr>
            </w:pPr>
            <w:r>
              <w:rPr>
                <w:rFonts w:hint="eastAsia"/>
                <w:vertAlign w:val="baseline"/>
                <w:lang w:val="en-US" w:eastAsia="zh-CN"/>
              </w:rPr>
              <w:t>报价总价（大写金额）：</w:t>
            </w:r>
            <w:r>
              <w:rPr>
                <w:rFonts w:hint="eastAsia"/>
                <w:u w:val="single"/>
                <w:vertAlign w:val="baseline"/>
                <w:lang w:val="en-US" w:eastAsia="zh-CN"/>
              </w:rPr>
              <w:t xml:space="preserve">                           </w:t>
            </w:r>
            <w:r>
              <w:rPr>
                <w:rFonts w:hint="eastAsia"/>
                <w:u w:val="none"/>
                <w:vertAlign w:val="baseline"/>
                <w:lang w:val="en-US" w:eastAsia="zh-CN"/>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20" w:type="dxa"/>
            <w:vMerge w:val="restart"/>
          </w:tcPr>
          <w:p>
            <w:pPr>
              <w:rPr>
                <w:rFonts w:hint="eastAsia" w:eastAsiaTheme="minorEastAsia"/>
                <w:vertAlign w:val="baseline"/>
                <w:lang w:val="en-US" w:eastAsia="zh-CN"/>
              </w:rPr>
            </w:pPr>
            <w:r>
              <w:rPr>
                <w:rFonts w:hint="eastAsia"/>
                <w:vertAlign w:val="baseline"/>
                <w:lang w:val="en-US" w:eastAsia="zh-CN"/>
              </w:rPr>
              <w:t>*</w:t>
            </w:r>
          </w:p>
        </w:tc>
        <w:tc>
          <w:tcPr>
            <w:tcW w:w="1420" w:type="dxa"/>
          </w:tcPr>
          <w:p>
            <w:pPr>
              <w:rPr>
                <w:rFonts w:hint="default"/>
                <w:vertAlign w:val="baseline"/>
                <w:lang w:val="en-US" w:eastAsia="zh-CN"/>
              </w:rPr>
            </w:pPr>
            <w:r>
              <w:rPr>
                <w:rFonts w:hint="eastAsia"/>
                <w:vertAlign w:val="baseline"/>
                <w:lang w:val="en-US" w:eastAsia="zh-CN"/>
              </w:rPr>
              <w:t>1-1</w:t>
            </w:r>
          </w:p>
        </w:tc>
        <w:tc>
          <w:tcPr>
            <w:tcW w:w="1420" w:type="dxa"/>
          </w:tcPr>
          <w:p>
            <w:pPr>
              <w:rPr>
                <w:vertAlign w:val="baseline"/>
              </w:rPr>
            </w:pPr>
          </w:p>
        </w:tc>
        <w:tc>
          <w:tcPr>
            <w:tcW w:w="1420" w:type="dxa"/>
          </w:tcPr>
          <w:p>
            <w:pPr>
              <w:rPr>
                <w:vertAlign w:val="baseline"/>
              </w:rPr>
            </w:pPr>
          </w:p>
        </w:tc>
        <w:tc>
          <w:tcPr>
            <w:tcW w:w="1421" w:type="dxa"/>
          </w:tcPr>
          <w:p>
            <w:pPr>
              <w:rPr>
                <w:vertAlign w:val="baseline"/>
              </w:rPr>
            </w:pPr>
          </w:p>
        </w:tc>
        <w:tc>
          <w:tcPr>
            <w:tcW w:w="142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20" w:type="dxa"/>
            <w:vMerge w:val="continue"/>
          </w:tcPr>
          <w:p/>
        </w:tc>
        <w:tc>
          <w:tcPr>
            <w:tcW w:w="1420" w:type="dxa"/>
          </w:tcPr>
          <w:p>
            <w:pPr>
              <w:pStyle w:val="12"/>
              <w:keepNext w:val="0"/>
              <w:keepLines w:val="0"/>
              <w:widowControl/>
              <w:suppressLineNumbers w:val="0"/>
              <w:rPr>
                <w:rFonts w:hint="default" w:eastAsiaTheme="minorEastAsia"/>
                <w:vertAlign w:val="baseline"/>
                <w:lang w:val="en-US" w:eastAsia="zh-CN"/>
              </w:rPr>
            </w:pPr>
            <w:r>
              <w:rPr>
                <w:rFonts w:ascii="宋体" w:hAnsi="宋体" w:eastAsia="宋体" w:cs="宋体"/>
                <w:sz w:val="24"/>
                <w:szCs w:val="24"/>
              </w:rPr>
              <w:t>1-*</w:t>
            </w:r>
          </w:p>
        </w:tc>
        <w:tc>
          <w:tcPr>
            <w:tcW w:w="1420" w:type="dxa"/>
          </w:tcPr>
          <w:p>
            <w:pPr>
              <w:rPr>
                <w:vertAlign w:val="baseline"/>
              </w:rPr>
            </w:pPr>
          </w:p>
        </w:tc>
        <w:tc>
          <w:tcPr>
            <w:tcW w:w="1420" w:type="dxa"/>
          </w:tcPr>
          <w:p>
            <w:pPr>
              <w:rPr>
                <w:vertAlign w:val="baseline"/>
              </w:rPr>
            </w:pPr>
          </w:p>
        </w:tc>
        <w:tc>
          <w:tcPr>
            <w:tcW w:w="1421" w:type="dxa"/>
          </w:tcPr>
          <w:p>
            <w:pPr>
              <w:rPr>
                <w:vertAlign w:val="baseline"/>
              </w:rPr>
            </w:pPr>
          </w:p>
        </w:tc>
        <w:tc>
          <w:tcPr>
            <w:tcW w:w="142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20" w:type="dxa"/>
            <w:vMerge w:val="continue"/>
          </w:tcPr>
          <w:p>
            <w:pPr>
              <w:rPr>
                <w:vertAlign w:val="baseline"/>
              </w:rPr>
            </w:pPr>
          </w:p>
        </w:tc>
        <w:tc>
          <w:tcPr>
            <w:tcW w:w="1420" w:type="dxa"/>
          </w:tcPr>
          <w:p>
            <w:pPr>
              <w:rPr>
                <w:rFonts w:hint="default" w:eastAsiaTheme="minorEastAsia"/>
                <w:vertAlign w:val="baseline"/>
                <w:lang w:val="en-US" w:eastAsia="zh-CN"/>
              </w:rPr>
            </w:pPr>
            <w:r>
              <w:rPr>
                <w:rFonts w:hint="eastAsia"/>
                <w:vertAlign w:val="baseline"/>
                <w:lang w:val="en-US" w:eastAsia="zh-CN"/>
              </w:rPr>
              <w:t>...</w:t>
            </w:r>
          </w:p>
        </w:tc>
        <w:tc>
          <w:tcPr>
            <w:tcW w:w="1420" w:type="dxa"/>
          </w:tcPr>
          <w:p>
            <w:pPr>
              <w:rPr>
                <w:vertAlign w:val="baseline"/>
              </w:rPr>
            </w:pPr>
          </w:p>
        </w:tc>
        <w:tc>
          <w:tcPr>
            <w:tcW w:w="1420" w:type="dxa"/>
          </w:tcPr>
          <w:p>
            <w:pPr>
              <w:rPr>
                <w:vertAlign w:val="baseline"/>
              </w:rPr>
            </w:pPr>
          </w:p>
        </w:tc>
        <w:tc>
          <w:tcPr>
            <w:tcW w:w="1421" w:type="dxa"/>
          </w:tcPr>
          <w:p>
            <w:pPr>
              <w:rPr>
                <w:vertAlign w:val="baseline"/>
              </w:rPr>
            </w:pPr>
          </w:p>
        </w:tc>
        <w:tc>
          <w:tcPr>
            <w:tcW w:w="142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20" w:type="dxa"/>
            <w:vMerge w:val="continue"/>
          </w:tcPr>
          <w:p>
            <w:pPr>
              <w:rPr>
                <w:vertAlign w:val="baseline"/>
              </w:rPr>
            </w:pPr>
          </w:p>
        </w:tc>
        <w:tc>
          <w:tcPr>
            <w:tcW w:w="7102" w:type="dxa"/>
            <w:gridSpan w:val="5"/>
          </w:tcPr>
          <w:p>
            <w:pPr>
              <w:rPr>
                <w:rFonts w:hint="default" w:eastAsiaTheme="minorEastAsia"/>
                <w:u w:val="single"/>
                <w:vertAlign w:val="baseline"/>
                <w:lang w:val="en-US" w:eastAsia="zh-CN"/>
              </w:rPr>
            </w:pPr>
            <w:r>
              <w:rPr>
                <w:rFonts w:hint="eastAsia"/>
                <w:vertAlign w:val="baseline"/>
                <w:lang w:val="en-US" w:eastAsia="zh-CN"/>
              </w:rPr>
              <w:t>报价总价（大写金额）：</w:t>
            </w:r>
            <w:r>
              <w:rPr>
                <w:rFonts w:hint="eastAsia"/>
                <w:u w:val="single"/>
                <w:vertAlign w:val="baseline"/>
                <w:lang w:val="en-US" w:eastAsia="zh-CN"/>
              </w:rPr>
              <w:t xml:space="preserve">                           </w:t>
            </w:r>
            <w:r>
              <w:rPr>
                <w:rFonts w:hint="eastAsia"/>
                <w:u w:val="none"/>
                <w:vertAlign w:val="baseline"/>
                <w:lang w:val="en-US" w:eastAsia="zh-CN"/>
              </w:rPr>
              <w:t>整。</w:t>
            </w:r>
          </w:p>
        </w:tc>
      </w:tr>
    </w:tbl>
    <w:p>
      <w:pPr>
        <w:pStyle w:val="12"/>
        <w:keepNext w:val="0"/>
        <w:keepLines w:val="0"/>
        <w:widowControl/>
        <w:suppressLineNumbers w:val="0"/>
        <w:spacing w:before="75" w:beforeAutospacing="0" w:after="75" w:afterAutospacing="0"/>
        <w:ind w:left="0" w:right="0" w:firstLine="0"/>
        <w:jc w:val="right"/>
        <w:rPr>
          <w:rFonts w:ascii="微软雅黑" w:hAnsi="微软雅黑" w:eastAsia="微软雅黑" w:cs="微软雅黑"/>
          <w:i w:val="0"/>
          <w:caps w:val="0"/>
          <w:color w:val="000000"/>
          <w:spacing w:val="0"/>
          <w:sz w:val="27"/>
          <w:szCs w:val="27"/>
        </w:rPr>
      </w:pPr>
      <w:r>
        <w:rPr>
          <w:rFonts w:ascii="宋体" w:hAnsi="宋体" w:eastAsia="宋体" w:cs="宋体"/>
          <w:i w:val="0"/>
          <w:caps w:val="0"/>
          <w:color w:val="000000"/>
          <w:spacing w:val="0"/>
          <w:sz w:val="24"/>
          <w:szCs w:val="24"/>
        </w:rPr>
        <w:t>货币单位：人民币元</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28480"/>
      <w:r>
        <w:rPr>
          <w:rFonts w:hint="eastAsia"/>
        </w:rPr>
        <w:t>三、资格证明文件</w:t>
      </w:r>
      <w:bookmarkEnd w:id="8"/>
    </w:p>
    <w:p>
      <w:pPr>
        <w:pStyle w:val="4"/>
      </w:pPr>
      <w:bookmarkStart w:id="9" w:name="_Toc15812"/>
      <w:r>
        <w:rPr>
          <w:rFonts w:hint="eastAsia"/>
        </w:rPr>
        <w:t>3</w:t>
      </w:r>
      <w:r>
        <w:t>-1单位负责人授权书（若有）</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0" w:name="_Toc16538"/>
      <w:r>
        <w:rPr>
          <w:rFonts w:hint="eastAsia"/>
        </w:rPr>
        <w:t>3</w:t>
      </w:r>
      <w:r>
        <w:t>-2营业执照等证明文件</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1" w:name="_Toc8545"/>
      <w:r>
        <w:rPr>
          <w:rFonts w:hint="eastAsia"/>
        </w:rPr>
        <w:t>四</w:t>
      </w:r>
      <w:r>
        <w:t>、技术要求响应表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2" w:name="_Toc26082"/>
      <w:r>
        <w:rPr>
          <w:rFonts w:hint="eastAsia"/>
        </w:rPr>
        <w:t>五</w:t>
      </w:r>
      <w:r>
        <w:t>、商务条件响应表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3" w:name="_Toc15312"/>
      <w:r>
        <w:rPr>
          <w:rFonts w:hint="eastAsia"/>
        </w:rPr>
        <w:t>六</w:t>
      </w:r>
      <w:r>
        <w:t>、</w:t>
      </w:r>
      <w:r>
        <w:rPr>
          <w:rFonts w:hint="eastAsia"/>
        </w:rPr>
        <w:t>售后服务承诺函</w:t>
      </w:r>
      <w:bookmarkEnd w:id="13"/>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821CA"/>
    <w:rsid w:val="005B4772"/>
    <w:rsid w:val="005D5D8E"/>
    <w:rsid w:val="005E7B4D"/>
    <w:rsid w:val="005E7BAB"/>
    <w:rsid w:val="005F3FFD"/>
    <w:rsid w:val="0060325D"/>
    <w:rsid w:val="0062243F"/>
    <w:rsid w:val="0066787A"/>
    <w:rsid w:val="00691F96"/>
    <w:rsid w:val="006966E6"/>
    <w:rsid w:val="006A148F"/>
    <w:rsid w:val="006C5043"/>
    <w:rsid w:val="007064F2"/>
    <w:rsid w:val="007156DD"/>
    <w:rsid w:val="007248C4"/>
    <w:rsid w:val="00734B3B"/>
    <w:rsid w:val="00740EC3"/>
    <w:rsid w:val="00793D48"/>
    <w:rsid w:val="007A5574"/>
    <w:rsid w:val="007C386F"/>
    <w:rsid w:val="007C3B30"/>
    <w:rsid w:val="007E218F"/>
    <w:rsid w:val="007F23C2"/>
    <w:rsid w:val="0080797A"/>
    <w:rsid w:val="00813FFE"/>
    <w:rsid w:val="00822B80"/>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5CE4"/>
    <w:rsid w:val="00CB665C"/>
    <w:rsid w:val="00CC50FA"/>
    <w:rsid w:val="00CD67F8"/>
    <w:rsid w:val="00D02B6F"/>
    <w:rsid w:val="00D534B4"/>
    <w:rsid w:val="00D9797B"/>
    <w:rsid w:val="00DA7C03"/>
    <w:rsid w:val="00DB7483"/>
    <w:rsid w:val="00E46A5A"/>
    <w:rsid w:val="00E541A9"/>
    <w:rsid w:val="00E56762"/>
    <w:rsid w:val="00E86EA0"/>
    <w:rsid w:val="00E87A1D"/>
    <w:rsid w:val="00ED3E3A"/>
    <w:rsid w:val="00F37F85"/>
    <w:rsid w:val="00F462D3"/>
    <w:rsid w:val="00F50C66"/>
    <w:rsid w:val="00F8124F"/>
    <w:rsid w:val="00F955FD"/>
    <w:rsid w:val="00FD5165"/>
    <w:rsid w:val="00FF3404"/>
    <w:rsid w:val="084B2430"/>
    <w:rsid w:val="085078C9"/>
    <w:rsid w:val="0B226E9E"/>
    <w:rsid w:val="0CFD3267"/>
    <w:rsid w:val="0ED379AB"/>
    <w:rsid w:val="16FE421F"/>
    <w:rsid w:val="174D2ED2"/>
    <w:rsid w:val="1CAA01A2"/>
    <w:rsid w:val="1E500C51"/>
    <w:rsid w:val="22217B84"/>
    <w:rsid w:val="26B11B86"/>
    <w:rsid w:val="2B382AE0"/>
    <w:rsid w:val="34F46761"/>
    <w:rsid w:val="3BDA3A7D"/>
    <w:rsid w:val="3D76267F"/>
    <w:rsid w:val="3E3241E3"/>
    <w:rsid w:val="42B66545"/>
    <w:rsid w:val="46D11DCB"/>
    <w:rsid w:val="47442A51"/>
    <w:rsid w:val="4DB13054"/>
    <w:rsid w:val="4FF65C59"/>
    <w:rsid w:val="510A3654"/>
    <w:rsid w:val="54A94EDE"/>
    <w:rsid w:val="68CE52D8"/>
    <w:rsid w:val="6A6131EF"/>
    <w:rsid w:val="6AD4274A"/>
    <w:rsid w:val="6B9A0573"/>
    <w:rsid w:val="6EFA135F"/>
    <w:rsid w:val="75526936"/>
    <w:rsid w:val="77B93EC0"/>
    <w:rsid w:val="785D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footer"/>
    <w:basedOn w:val="1"/>
    <w:link w:val="211"/>
    <w:unhideWhenUsed/>
    <w:qFormat/>
    <w:uiPriority w:val="99"/>
    <w:pPr>
      <w:tabs>
        <w:tab w:val="center" w:pos="4153"/>
        <w:tab w:val="right" w:pos="8306"/>
      </w:tabs>
      <w:snapToGrid w:val="0"/>
      <w:jc w:val="left"/>
    </w:pPr>
    <w:rPr>
      <w:sz w:val="18"/>
      <w:szCs w:val="18"/>
    </w:rPr>
  </w:style>
  <w:style w:type="paragraph" w:styleId="8">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2">
    <w:name w:val="Normal (Web)"/>
    <w:basedOn w:val="1"/>
    <w:unhideWhenUsed/>
    <w:qFormat/>
    <w:uiPriority w:val="99"/>
    <w:pPr>
      <w:widowControl/>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1"/>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8"/>
    <w:qFormat/>
    <w:uiPriority w:val="99"/>
    <w:rPr>
      <w:sz w:val="18"/>
      <w:szCs w:val="18"/>
    </w:rPr>
  </w:style>
  <w:style w:type="character" w:customStyle="1" w:styleId="211">
    <w:name w:val="页脚 字符"/>
    <w:basedOn w:val="15"/>
    <w:link w:val="7"/>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datastoreItem>
</file>

<file path=docProps/app.xml><?xml version="1.0" encoding="utf-8"?>
<Properties xmlns="http://schemas.openxmlformats.org/officeDocument/2006/extended-properties" xmlns:vt="http://schemas.openxmlformats.org/officeDocument/2006/docPropsVTypes">
  <Template>Normal</Template>
  <Pages>18</Pages>
  <Words>1177</Words>
  <Characters>6714</Characters>
  <Lines>55</Lines>
  <Paragraphs>15</Paragraphs>
  <TotalTime>1</TotalTime>
  <ScaleCrop>false</ScaleCrop>
  <LinksUpToDate>false</LinksUpToDate>
  <CharactersWithSpaces>7876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GDWL-yxb-2</cp:lastModifiedBy>
  <dcterms:modified xsi:type="dcterms:W3CDTF">2020-03-23T00:57:03Z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