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color w:val="393939"/>
          <w:sz w:val="30"/>
          <w:szCs w:val="30"/>
          <w:shd w:val="clear" w:color="auto" w:fill="FFFFFF"/>
          <w:lang w:eastAsia="zh-CN"/>
        </w:rPr>
      </w:pPr>
      <w:r>
        <w:rPr>
          <w:rFonts w:ascii="宋体" w:hAnsi="宋体" w:eastAsia="宋体" w:cs="宋体"/>
          <w:bCs/>
          <w:kern w:val="0"/>
          <w:sz w:val="36"/>
          <w:szCs w:val="24"/>
        </w:rPr>
        <w:t>项目名称：</w:t>
      </w:r>
      <w:r>
        <w:rPr>
          <w:rFonts w:hint="eastAsia" w:ascii="宋体" w:hAnsi="宋体"/>
          <w:b/>
          <w:bCs/>
          <w:sz w:val="32"/>
          <w:szCs w:val="24"/>
          <w:u w:val="single" w:color="auto"/>
        </w:rPr>
        <w:t>武警</w:t>
      </w:r>
      <w:r>
        <w:rPr>
          <w:rFonts w:hint="eastAsia" w:ascii="宋体" w:hAnsi="宋体"/>
          <w:b/>
          <w:bCs/>
          <w:sz w:val="32"/>
          <w:szCs w:val="24"/>
          <w:u w:val="single" w:color="auto"/>
          <w:lang w:val="en-US" w:eastAsia="zh-CN"/>
        </w:rPr>
        <w:t>沙县</w:t>
      </w:r>
      <w:r>
        <w:rPr>
          <w:rFonts w:hint="eastAsia" w:ascii="宋体" w:hAnsi="宋体"/>
          <w:b/>
          <w:bCs/>
          <w:sz w:val="32"/>
          <w:szCs w:val="24"/>
          <w:u w:val="single" w:color="auto"/>
        </w:rPr>
        <w:t>中队“智慧磐石”工程一期建设物资采购项目</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default"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201</w:t>
      </w:r>
      <w:r>
        <w:rPr>
          <w:rFonts w:hint="eastAsia" w:ascii="宋体" w:hAnsi="宋体" w:eastAsia="宋体" w:cs="宋体"/>
          <w:bCs/>
          <w:kern w:val="0"/>
          <w:sz w:val="36"/>
          <w:szCs w:val="24"/>
          <w:lang w:val="en-US" w:eastAsia="zh-CN"/>
        </w:rPr>
        <w:t>91209001</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ascii="宋体" w:hAnsi="宋体"/>
          <w:b/>
          <w:bCs/>
          <w:sz w:val="32"/>
          <w:szCs w:val="24"/>
          <w:u w:val="single" w:color="auto"/>
        </w:rPr>
        <w:t>武警</w:t>
      </w:r>
      <w:r>
        <w:rPr>
          <w:rFonts w:hint="eastAsia" w:ascii="宋体" w:hAnsi="宋体"/>
          <w:b/>
          <w:bCs/>
          <w:sz w:val="32"/>
          <w:szCs w:val="24"/>
          <w:u w:val="single" w:color="auto"/>
          <w:lang w:val="en-US" w:eastAsia="zh-CN"/>
        </w:rPr>
        <w:t>沙县</w:t>
      </w:r>
      <w:r>
        <w:rPr>
          <w:rFonts w:hint="eastAsia" w:ascii="宋体" w:hAnsi="宋体"/>
          <w:b/>
          <w:bCs/>
          <w:sz w:val="32"/>
          <w:szCs w:val="24"/>
          <w:u w:val="single" w:color="auto"/>
        </w:rPr>
        <w:t>中队“智慧磐石”工程一期建设物资采购项目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项目编号：201</w:t>
      </w:r>
      <w:r>
        <w:rPr>
          <w:rFonts w:hint="eastAsia" w:ascii="宋体" w:hAnsi="宋体" w:eastAsia="宋体"/>
          <w:sz w:val="24"/>
          <w:szCs w:val="24"/>
          <w:lang w:val="en-US" w:eastAsia="zh-CN"/>
        </w:rPr>
        <w:t>91209001</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45</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沙公ZB201</w:t>
      </w:r>
      <w:r>
        <w:rPr>
          <w:rFonts w:hint="eastAsia" w:ascii="宋体" w:hAnsi="宋体" w:eastAsia="宋体"/>
          <w:sz w:val="24"/>
          <w:szCs w:val="24"/>
          <w:u w:val="single"/>
          <w:lang w:val="en-US" w:eastAsia="zh-CN"/>
        </w:rPr>
        <w:t>9017</w:t>
      </w:r>
      <w:r>
        <w:rPr>
          <w:rFonts w:hint="eastAsia" w:ascii="宋体" w:hAnsi="宋体" w:eastAsia="宋体"/>
          <w:sz w:val="24"/>
          <w:szCs w:val="24"/>
          <w:u w:val="single"/>
        </w:rPr>
        <w:t>号</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eastAsia="宋体"/>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bCs/>
                <w:kern w:val="0"/>
                <w:sz w:val="24"/>
                <w:szCs w:val="24"/>
                <w:lang w:val="en-US" w:eastAsia="zh-CN"/>
              </w:rPr>
              <w:t>合同签订后支付合同总价的50%，验收合格后支付合同总价的45%，</w:t>
            </w:r>
            <w:r>
              <w:rPr>
                <w:rFonts w:ascii="宋体" w:hAnsi="宋体" w:eastAsia="宋体" w:cs="宋体"/>
                <w:kern w:val="0"/>
                <w:sz w:val="24"/>
                <w:szCs w:val="24"/>
                <w:lang w:val="en-US" w:eastAsia="zh-CN" w:bidi="ar"/>
              </w:rPr>
              <w:t>余5%款项做为质保金，</w:t>
            </w:r>
            <w:r>
              <w:rPr>
                <w:rFonts w:hint="eastAsia" w:ascii="宋体" w:hAnsi="宋体" w:eastAsia="宋体" w:cs="宋体"/>
                <w:kern w:val="0"/>
                <w:sz w:val="24"/>
                <w:szCs w:val="24"/>
                <w:lang w:val="en-US" w:eastAsia="zh-CN" w:bidi="ar"/>
              </w:rPr>
              <w:t>三</w:t>
            </w:r>
            <w:r>
              <w:rPr>
                <w:rFonts w:ascii="宋体" w:hAnsi="宋体" w:eastAsia="宋体" w:cs="宋体"/>
                <w:kern w:val="0"/>
                <w:sz w:val="24"/>
                <w:szCs w:val="24"/>
                <w:lang w:val="en-US" w:eastAsia="zh-CN" w:bidi="ar"/>
              </w:rPr>
              <w:t>年后完成合同约定所有内容，无质量与售后问题，七个工作日付清</w:t>
            </w:r>
            <w:r>
              <w:rPr>
                <w:rFonts w:hint="eastAsia" w:ascii="宋体" w:hAnsi="宋体" w:eastAsia="宋体" w:cs="宋体"/>
                <w:bCs/>
                <w:kern w:val="0"/>
                <w:sz w:val="24"/>
                <w:szCs w:val="24"/>
                <w:lang w:val="en-US" w:eastAsia="zh-CN"/>
              </w:rPr>
              <w:t>。</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武警沙县中队“智慧磐石”工程一期建设物资采购项目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450000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450000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br w:type="page"/>
      </w:r>
      <w:bookmarkStart w:id="4" w:name="_Toc28866"/>
    </w:p>
    <w:p>
      <w:pPr>
        <w:pStyle w:val="3"/>
        <w:numPr>
          <w:ilvl w:val="0"/>
          <w:numId w:val="3"/>
        </w:numPr>
        <w:rPr>
          <w:rFonts w:hint="eastAsia" w:ascii="宋体" w:hAnsi="宋体" w:eastAsia="宋体" w:cs="宋体"/>
          <w:sz w:val="24"/>
          <w:szCs w:val="24"/>
        </w:rPr>
      </w:pPr>
      <w:r>
        <w:t>技术要求（以下内容不允许负偏离）</w:t>
      </w:r>
      <w:bookmarkEnd w:id="4"/>
    </w:p>
    <w:p>
      <w:pPr>
        <w:numPr>
          <w:ilvl w:val="0"/>
          <w:numId w:val="0"/>
        </w:numPr>
        <w:rPr>
          <w:rFonts w:hint="eastAsia" w:ascii="宋体" w:hAnsi="宋体" w:eastAsia="宋体" w:cs="宋体"/>
          <w:sz w:val="24"/>
          <w:szCs w:val="24"/>
        </w:rPr>
      </w:pPr>
    </w:p>
    <w:tbl>
      <w:tblPr>
        <w:tblStyle w:val="15"/>
        <w:tblW w:w="0" w:type="auto"/>
        <w:tblInd w:w="9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495"/>
        <w:gridCol w:w="1121"/>
        <w:gridCol w:w="4571"/>
        <w:gridCol w:w="713"/>
        <w:gridCol w:w="684"/>
        <w:gridCol w:w="711"/>
        <w:gridCol w:w="711"/>
        <w:gridCol w:w="1014"/>
        <w:gridCol w:w="3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0020" w:type="dxa"/>
            <w:gridSpan w:val="8"/>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hint="eastAsia" w:ascii="宋体" w:hAnsi="宋体" w:cs="宋体"/>
                <w:b/>
                <w:bCs/>
                <w:color w:val="000000"/>
                <w:kern w:val="0"/>
                <w:sz w:val="32"/>
              </w:rPr>
            </w:pPr>
            <w:r>
              <w:rPr>
                <w:rFonts w:hint="eastAsia" w:ascii="宋体" w:hAnsi="宋体" w:cs="宋体"/>
                <w:b/>
                <w:bCs/>
                <w:color w:val="000000"/>
                <w:kern w:val="0"/>
                <w:sz w:val="32"/>
              </w:rPr>
              <w:t>武警</w:t>
            </w:r>
            <w:r>
              <w:rPr>
                <w:rFonts w:hint="eastAsia" w:ascii="宋体" w:hAnsi="宋体" w:cs="宋体"/>
                <w:b/>
                <w:bCs/>
                <w:color w:val="000000"/>
                <w:kern w:val="0"/>
                <w:sz w:val="32"/>
                <w:lang w:val="en-US" w:eastAsia="zh-CN"/>
              </w:rPr>
              <w:t>沙县</w:t>
            </w:r>
            <w:r>
              <w:rPr>
                <w:rFonts w:hint="eastAsia" w:ascii="宋体" w:hAnsi="宋体" w:cs="宋体"/>
                <w:b/>
                <w:bCs/>
                <w:color w:val="000000"/>
                <w:kern w:val="0"/>
                <w:sz w:val="32"/>
              </w:rPr>
              <w:t>中队“智慧磐石”工程一期建设物资采购清单</w:t>
            </w:r>
          </w:p>
          <w:p>
            <w:pPr>
              <w:widowControl/>
              <w:spacing w:after="150"/>
              <w:jc w:val="center"/>
              <w:rPr>
                <w:rFonts w:ascii="宋体" w:hAnsi="宋体" w:cs="宋体"/>
                <w:kern w:val="0"/>
              </w:rPr>
            </w:pPr>
            <w:r>
              <w:rPr>
                <w:rFonts w:hint="eastAsia" w:ascii="宋体" w:hAnsi="宋体" w:cs="宋体"/>
                <w:b/>
                <w:bCs/>
                <w:color w:val="000000"/>
                <w:kern w:val="0"/>
                <w:sz w:val="32"/>
              </w:rPr>
              <w:t>（最高限价</w:t>
            </w:r>
            <w:r>
              <w:rPr>
                <w:rFonts w:hint="eastAsia" w:ascii="宋体" w:hAnsi="宋体" w:cs="宋体"/>
                <w:b/>
                <w:bCs/>
                <w:color w:val="000000"/>
                <w:kern w:val="0"/>
                <w:sz w:val="32"/>
                <w:lang w:val="en-US" w:eastAsia="zh-CN"/>
              </w:rPr>
              <w:t>50</w:t>
            </w:r>
            <w:r>
              <w:rPr>
                <w:rFonts w:hint="eastAsia" w:ascii="宋体" w:hAnsi="宋体" w:cs="宋体"/>
                <w:b/>
                <w:bCs/>
                <w:color w:val="000000"/>
                <w:kern w:val="0"/>
                <w:sz w:val="32"/>
              </w:rPr>
              <w:t>万）</w:t>
            </w: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序号</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名 称</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参数需求</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数量</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单位</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单价</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总价</w:t>
            </w: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r>
              <w:rPr>
                <w:rFonts w:hint="eastAsia" w:ascii="宋体" w:hAnsi="宋体" w:cs="宋体"/>
                <w:b/>
                <w:bCs/>
                <w:color w:val="000000"/>
                <w:kern w:val="0"/>
                <w:sz w:val="23"/>
              </w:rPr>
              <w:t>备注</w:t>
            </w: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10050" w:type="dxa"/>
            <w:gridSpan w:val="9"/>
            <w:tcBorders>
              <w:top w:val="nil"/>
              <w:left w:val="single" w:color="auto" w:sz="6" w:space="0"/>
              <w:bottom w:val="single" w:color="auto" w:sz="6" w:space="0"/>
              <w:right w:val="nil"/>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一、哨位门禁系统</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人脸门禁一体机</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采用≥7英寸LCD触摸显示屏，分辨率不小于1024*600，屏幕支持多点触控操作，屏幕防冲击防护等级IK04。2.采用高清双目相机宽动态相机（1路可见光摄像头，1路红外摄像头），最大分辨率为1920×1080，帧率30帧/s。（需提供在招标日期之前由公安部授权机构出具的检测报告复印件，原件备查）3.支持红外及白光灯补光，并可设置红外及可见光补光灯亮度。4.本地人脸库存储容量≥5000张，本地卡存储容量≥5000张，本地出入记录存储容量≥10000条。5.具有丰富的硬件接口，应不少于以下硬件接口及能力： LAN*1（10M/100M/1000M自适应） ；RS485*1；韦根*1；USB*2；喇叭扬声器；I/O输出*2； I/O输入*4；PSAM*1；SIM*1。6.支持IC卡及身份证卡号读取；同时支持开启/关闭NFC刷卡功能。7.支持人脸识别功能，现场抓拍人脸照片与本地人脸库照片进行比对，进行人员身份核验；支持人脸在画面内持续动态跟踪；支持本地离线人脸比对功能；支持用户人脸数据下载及人脸识别双线程同步工作；人脸识别水平区域范围可设置。8.人脸识别距离：＞2m；人脸识别高度：1.2~2m（安装高度1.4m，距离1.5m）；人脸识别误识率≤0.01%，准确率≥99.8%，人脸识别速度≤0.2s。（需提供在招标日期之前由公安部授权机构出具的检测报告复印件，原件备查）9.支持防假体攻击功能，对视频、电子照片、打印照片中的人脸应不能进行人脸识别。10.支持人脸识别、刷卡、二维码、密码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APP远程开门、室内机及管理机远程开门。并且支持反潜回（防尾随）功能，并可按时间段管控，支持255组时段计划模板。11.支持多种人脸注册方式：设备本地人脸注册；本地U盘导入人员信息； 远程中心下发人脸；通过APP采集人脸并注册下发。12.支持比对结果图文提示功能； 支持本地视频预览、人脸动态捕捉；支持查看人员信息、设备状态、设备模式。设备支持视频对讲功能，可跟平台或客户端、室内机、管理机、手机APP进行视频对讲。支持黑名单功能，支持中心下发黑名单信息，本地黑名单信息比对、报警，报警信息可上传平台。13.具有数据加密功能，包括支持本地加密存储比对结果、身份信息及抓拍人脸照片；支持实时加密上传比对结果、身份信息及抓拍人脸照片等至管理中心；支持断网续传离线记录加密数据功能；设备对USB导出数据（事件记录及人脸等）应采用加密方案。14.支持节能功能，支持在没有用户使用时自动切换到屏保或息屏待机状态，当物体靠近时自动唤醒待机设备，且唤醒距离可调节；支持不开启白光补光灯实现人脸识别；支持在0.001lux低照度或无补光环境下正常实现人脸识别。15.具备以下报警功能：1）当连续若干次在设备上进行错误操作；2）未经正常操作而使出入口开启；3）出入口开启时间超过设定值；4）设备被拆除；5）胁迫卡和胁迫码；6）黑名单刷卡；设备在接入系统平台可支持视频联动报警功能。16.支持IP65防水等级,适用温度范围：-30℃至65℃。</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71"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电子锁</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280kg静态直线拉力；可自行设定12VDC；内置反向电流防护装置(MOV)；门锁状态讯号输入(NONCCOM)；LED指示灯显示门锁状态；防残磁设计，选用防磨损材料；铝外壳采用高强度合金材料，阳极硬化处。</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只</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电子锁附件</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L型支架尺寸：长240*宽47*厚28.5mm；Z型支架尺寸：长180*宽50*厚50mm；开门角度：90°；适用门类型：内开式木门/金属门/窄框门。</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只</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闭门器</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适用于55~75公斤单扇门；双扇门配2个。</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只</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可视辅助类产品</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产品尺寸：266*246*82mm；产品组成：含4.17A开关电源，空开×1；输入电压：100-240VAC；输出电压：12VDC；输出电流：4.17A；输出功率：50W；纹波与噪声：&lt; 150mVpp；电压调整范围：11-14Vdc；工作温度：-10℃-+70℃；工作湿度：＜95%；</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6</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人脸采集摄像头</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200万USB电视摄像机；传感器类型:2.0 Mega Progressive Scan CMOS；总像素:1920(水平)×1080(垂直)；最低照度:0.1Lux @ (F1.2,AGC ON)；镜头:6mm(2.1mm可选)；出线长度:2m(2.1mm焦距设备出线为4m)；日夜转换模式:单彩；调整角度:水平:0°;垂直:-10°~30°;旋转:0°；视频帧率:1080p@25fps;1080p@30fps；信噪比:大于62dB；视频输出:USB2.0；音频输入:内置MIC；音频输出:USB2.0；白平衡:自动白平衡；蜂鸣功能:支持；LED指示灯:红色：待机状态; 蓝色：正常视频通话状态; 红色闪烁+蜂鸣：有视频通话请求状态；工作温度和湿度:-10℃~45℃ ,湿度小于90%(无凝结)；电源供应:DC5V±15%（USB接口）；功耗:2W MAX；尺寸(mm):118.0×46.8×54.9；重量:150g；提供SDK做2次开发，可支持windows和安卓系统。</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4</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50" w:type="dxa"/>
            <w:gridSpan w:val="9"/>
            <w:tcBorders>
              <w:top w:val="nil"/>
              <w:left w:val="single" w:color="auto" w:sz="6" w:space="0"/>
              <w:bottom w:val="single" w:color="auto" w:sz="6" w:space="0"/>
              <w:right w:val="nil"/>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二、辅助处置系统：巡控探照灯(1号哨、2号哨各1套)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智能探照灯</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after="15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1、额定功率:1000W，额定电压:AC220V\50-60HZ；2、灯泡寿命：&gt;1000小时；3、光柱颜色：白色；4、色温：6000 K；5、光通量：32000LM；6、有效射程：不小于一公里；7、旋转角度：水平0-355度，垂直正负45-60度；8、旋转速度：默认水平18度每秒，垂直2度/秒；9、配有高清晰、远距、夜视一体摄像机联动云台实时监看现场状况；10、大功率氙气光源，可远程控制继电器开关，可以实时在软件平台实现开关云台探照灯，全方位控制探照灯的方向，支持自动巡航，可实现预置点控制，支持报警联动控制；11.★含防雷器强弱电防雷器，支架等辅材配件。</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hint="eastAsia" w:ascii="宋体" w:hAnsi="宋体" w:eastAsia="宋体" w:cs="宋体"/>
                <w:color w:val="000000"/>
                <w:kern w:val="0"/>
                <w:sz w:val="23"/>
                <w:szCs w:val="23"/>
                <w:lang w:eastAsia="zh-CN"/>
              </w:rPr>
            </w:pPr>
            <w:r>
              <w:rPr>
                <w:rFonts w:hint="eastAsia" w:ascii="宋体" w:hAnsi="宋体" w:cs="宋体"/>
                <w:color w:val="000000"/>
                <w:kern w:val="0"/>
                <w:sz w:val="23"/>
                <w:szCs w:val="23"/>
                <w:lang w:val="en-US" w:eastAsia="zh-CN"/>
              </w:rPr>
              <w:t>2</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after="150"/>
              <w:jc w:val="center"/>
              <w:rPr>
                <w:rFonts w:ascii="宋体" w:hAnsi="宋体" w:cs="宋体"/>
                <w:color w:val="000000"/>
                <w:kern w:val="0"/>
                <w:sz w:val="23"/>
                <w:szCs w:val="23"/>
              </w:rPr>
            </w:pPr>
            <w:r>
              <w:rPr>
                <w:rFonts w:hint="eastAsia" w:ascii="宋体" w:hAnsi="宋体" w:cs="宋体"/>
                <w:color w:val="000000"/>
                <w:kern w:val="0"/>
                <w:sz w:val="23"/>
                <w:szCs w:val="23"/>
              </w:rPr>
              <w:t>套</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0020" w:type="dxa"/>
            <w:gridSpan w:val="8"/>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三、哨位集成系统（含联动报警系统）</w:t>
            </w: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0020" w:type="dxa"/>
            <w:gridSpan w:val="8"/>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3.1 中队勤务值班室</w:t>
            </w: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平台服务器</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1.配置≥1颗HG7163(≥16核≥2.4GHz主频) CPU；2.配置≥32GB DDR4内存；3.配置≥2块600GB SAS，配置SAS_HBA卡；4.配置≥2个1GbE网口；5.配置550W(1+1)冗余电源；6.配置≥16DIMM内存槽。</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智能应急控制终端</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支持一键触发6类（暴狱事件、越狱事件、恐怖袭击、自然灾害、劫持事件、突发事件）主动报警；2、支持12个哨位子弹箱应急控制；3、支持串口信号传输；4、支持开关量信号传输；5、可在哨位故障时，通过哨位的一键报警实现应急报警联动；6、可在系统无故障，网络通畅时为使用正常状态，当系统故障，网络堵塞时自动切换为应急状态；7、可实现打开申请哨位子弹箱操作、子弹箱全部打开操作；8、支持在系统无故障时为待机状态，当系统故障时自动切换为应急状态；支持通信状态显示、设备状态显示。申请供弹提示，子弹箱状态提示，报警状态提示；支持枪柜设备状态实时显示（提供第三方权威机构出具的检测报告复印件并加盖公章，原件备查）；</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3</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智能哨位声光报警器</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1、报警类型：冲闯、破坏、袭击、灾害等(不低于5种）；2、报警的同时通过喇叭提示报警状态及预案措施；3、通过LED屏的滚动字幕提示报警状态及预案措施；4、通过网络进行报警信息发送；5、可通过平台设置滚动标语文字；6、支持外接定阻8欧30瓦号角；7、在没有报警的状态下，LED屏可滚动各种信息，如日期，时间等，报警状态结束后，可自动恢复。</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指纹采集仪</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采集时间：﹤0.5s；比对时间：﹤1s；指纹验证方式：1:1，指纹搜索：1:N；2、拒真率：﹤0.001%；认假率：﹤0.0001%；匹配阀值：9等级；3、传感器类型：半导体电容式传感器；存储指纹数量：≥3000枚；4、传输接口类型：标准 USB2.0接口；5、数据传输快捷、轻巧设计，便于携带、耐磨、防震抗破坏性强、抗静电干扰。</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color w:val="000000"/>
                <w:kern w:val="0"/>
                <w:sz w:val="23"/>
                <w:szCs w:val="23"/>
              </w:rPr>
            </w:pPr>
            <w:r>
              <w:rPr>
                <w:rFonts w:hint="eastAsia" w:ascii="宋体" w:hAnsi="宋体" w:eastAsia="宋体" w:cs="宋体"/>
                <w:i w:val="0"/>
                <w:color w:val="000000"/>
                <w:kern w:val="0"/>
                <w:sz w:val="21"/>
                <w:szCs w:val="21"/>
                <w:u w:val="none"/>
                <w:lang w:val="en-US" w:eastAsia="zh-CN" w:bidi="ar"/>
              </w:rPr>
              <w:t>5</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智能勤务调度主机</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基于嵌入工低功耗硬件架构，采用国产工业级处理器芯片及Android操作系统,集主控计算、界面交互、视频接入及交换于一体的可视对讲系统；2、具有10.1英寸彩色LCD显示屏，多点电容式触摸屏，分辨率达1280*800；3、支持语音对讲功能，支持与可视对讲智能终端、哨位信息化终端、岗哨门禁终端等进行双向语音可视对讲（提供第三方权威机构出具的检测报告复印件并加盖公章，原件备查）；4、支持语音广播、语音对讲、可视对讲、POC对讲、多方语音会议等功能；5、支持岗哨门禁控制与门状态检测功能，可对岗哨门禁终端进行远程开门、验证开门等控制操作，并实时检测和显示门状态；6、支持可视对讲管控主机、哨位信息化终端、应急控制终端、岗哨门禁终端、智能枪弹柜、两警联动终端、集群车载台、模拟话机、IP话机、4G单兵、手机等终端集中接入管理和统一音频调度（配合融合通信后台系统使用）；7、内置500万像素高清数字摄像头（具有硬件遮挡功能，保护隐私)，支持双向视频通话；采用H.264编码；8、内置3W扬声器和话筒咪头，用于免提通话、接收群呼广播和监听；9、支持多种方式通话方式：免提(话筒杆)、手提（手柄）等；10、支持全区、分区、任意终端进行喊话广播；11、支持来、去电显示功能，来电语音播报，呼叫转移；12、支持音视频多方通话，最高支持四方实时视频通话；13、支持监听监视、循环监测查看终端状态；14、支持SIP协议，可单独接入VOIP电话系统(主流IP-PBX)；15、支持1个HDMI、2个USB、1路本地音频输入输出；16、支持 2路报警输入输出、1路RS485、1路12V可控电压输出；17、带权限操作功能，特殊权限操作需核对身份（输入密码或指纹）；18、内置硬件看门狗和软件看门狗功能，支持长时间工作；</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3.2 自卫哨</w:t>
            </w: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哨位信息化终端（警卫拓展型）</w:t>
            </w:r>
          </w:p>
        </w:tc>
        <w:tc>
          <w:tcPr>
            <w:tcW w:w="45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哨位信息终端基于嵌入工业级低功耗硬件架构，采用国产工业级处理器芯片和嵌入式Linux实时多任务系统,集主控计算、界面交互、视频接入及交换于一体综合交互服务。2、支持9路1080P/16路720P视频实时解码显示；支持1/4/9/16画面切换；支持主、子码流切换；支持视频截图、录像、截图录像回查等功能；支持本地视频分组显示，支持分组视频快捷切换；支持视频轮巡。3、实现六种分类报警功能：冲闯、破坏、袭击、灾害、劫持、突发。4、实现哨兵自主调阅监控画面和操控云台 。5、支持哨位终端与门禁终端可视对讲、远程开门功能。6、系统或网络瘫痪时可支持物理紧急报警。7、通过指纹识别方式实现查哨、换岗考勤系统，全程进行拍照，监控，照片可以实时传回勤务值班室。8、集成武警专线电话和监所内部电话 。9、警戒区域语音警告、鸣枪警告功能，异常情况对管辖区域内进行喊话功能。10、紧急情况申请子弹功能。11、支持视频监控物理按键通道选择、切换视频、分屏和设置等功能；通过哨位信息化终端面板控制键盘按键，手动切换显示、手动任意调用\切换监控画面、单\多画面切换分屏等功能。12、内置2个19寸10点电容触摸3MM防爆触摸显示屏，亮度可调节，分辨率1440*900 ，可切换视频全屏及防区视频实时观看功能。13、支持可视化兵力（哨位）部署图应用，兵力分布实时掌握。14、支持通道选择、云台控制、镜头变倍等触摸操作；具备通过物理按键和摇杆实现通道选择、云台控制、镜头变倍功能快捷操作；具备触摸屏选择云台控制的混合操作方式。15、触摸显示屏具备一键180度倒屏功能。16、可外接16路开关量报警信号输入及6路常开或常闭报警输出。17、报警触发时，所有报警信号都会以文字、声音、图形等形式呈现。18、子弹箱具有本地与远程强制打开功能，前端强制打开子弹箱报警录像功能。19、可与值班室实现网络对讲，网络对讲支持VoIP协议、支持号码输入功能。20、交换机非标配，21、可拓展嵌入100W功放模块；22、可拓展UPS功能；23、可拓展嵌入标准1U机架式光端机。</w:t>
            </w:r>
          </w:p>
        </w:tc>
        <w:tc>
          <w:tcPr>
            <w:tcW w:w="713"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nil"/>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nil"/>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功放模块</w:t>
            </w:r>
          </w:p>
        </w:tc>
        <w:tc>
          <w:tcPr>
            <w:tcW w:w="4571" w:type="dxa"/>
            <w:tcBorders>
              <w:top w:val="nil"/>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1、功率：最大100W；2、输出：双路输出；3、支持莲花头话筒音频输入。</w:t>
            </w:r>
          </w:p>
        </w:tc>
        <w:tc>
          <w:tcPr>
            <w:tcW w:w="713" w:type="dxa"/>
            <w:tcBorders>
              <w:top w:val="nil"/>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nil"/>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711" w:type="dxa"/>
            <w:tcBorders>
              <w:top w:val="nil"/>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1014"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p>
        </w:tc>
        <w:tc>
          <w:tcPr>
            <w:tcW w:w="30" w:type="dxa"/>
            <w:tcBorders>
              <w:top w:val="nil"/>
              <w:left w:val="nil"/>
              <w:bottom w:val="single" w:color="auto" w:sz="4" w:space="0"/>
              <w:right w:val="nil"/>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高音喇叭</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100W</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个</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多业务光端机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单模SC接口、1路百兆网络接口、2路电话、1路双向485接口</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50" w:type="dxa"/>
            <w:gridSpan w:val="9"/>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3.3 一号哨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哨位信息化终端（哨位拓展型）</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哨位信息终端基于嵌入工业级低功耗硬件架构，采用国产工业级处理器芯片和嵌入式Linux实时多任务系统,集主控计算、界面交互、视频接入及交换于一体综合交互服务。2、支持16路1080P/32路720P视频实时解码显示；支持1/4/9/16画面切换；支持主、子码流切换；支持视频截图、录像、截图录像回查等功能；支持本地视频分组显示，支持分组视频快捷切换；支持视频轮巡。3、实现六种分类报警功能：暴狱、越狱、袭击、灾害、劫持、突发。4、实现哨兵自主调阅监控画面和操控云台 。5、支持哨位终端与门禁终端可视对讲、远程开门功能。6、系统或网络瘫痪时可支持物理紧急报警。7、通过指纹识别方式实现查哨、换岗考勤系统，全程进行拍照，监控，照片可以实时传回勤务值班室。8、集成武警专线电话和监所内部电话。 9、警戒区域语音警告、鸣枪警告功能，异常情况对管辖区域内进行喊话功能。10、紧急情况申请子弹功能。11、支持视频监控物理按键通道选择、切换视频、分屏和设置等功能；通过哨位信息化终端面板控制键盘按键，手动切换显示、手动任意调用\切换监控画面、单\多画面切换分屏等功能。12、内置2个19寸10点电容触摸3MM防爆触摸显示屏，亮度可调节，分辨率1440*900 ，可切换视频全屏及防区视频实时观看功能。13、支持可视化兵力（哨位）部署图应用，兵力分布实时掌握。14、支持通道选择、云台控制、镜头变倍等触摸操作；具备通过物理按键和摇杆实现通道选择、云台控制、镜头变倍功能快捷操作；具备触摸屏选择云台控制的混合操作方式。15、触摸显示屏具备一键180度倒屏功能。16、可外接16路开关量报警信号输入及6路常开或常闭报警输出。17、报警触发时，所有报警信号都会以文字、声音、图形等形式呈现。18、子弹箱具有本地与远程强制打开功能，前端强制打开子弹箱报警录像功能。19、可与值班室实现网络对讲，网络对讲支持VoIP协议、支持号码输入功能。20、交换机非标配，21、可拓展嵌入100W功放模块；22、可拓展UPS功能；23、可拓展嵌入标准1U机架式光端机；</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功放模块</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1、功率：最大100W；2、输出：双路输出；3、支持莲花头话筒音频输入。</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高音喇叭</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100W</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个</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多业务光端机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单模SC接口、1路百兆网络接口、2路电话、1路双向485接口</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3.4 二号哨</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哨位信息化终端（哨位拓展型）</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哨位信息终端基于嵌入工业级低功耗硬件架构，采用国产工业级处理器芯片和嵌入式Linux实时多任务系统,集主控计算、界面交互、视频接入及交换于一体综合交互服务。2、支持16路1080P/32路720P视频实时解码显示；支持1/4/9/16画面切换；支持主、子码流切换；支持视频截图、录像、截图录像回查等功能；支持本地视频分组显示，支持分组视频快捷切换；支持视频轮巡。3、实现六种分类报警功能：暴狱、越狱、袭击、灾害、劫持、突发。4、实现哨兵自主调阅监控画面和操控云台 。5、支持哨位终端与门禁终端可视对讲、远程开门功能。6、系统或网络瘫痪时可支持物理紧急报警。7、通过指纹识别方式实现查哨、换岗考勤系统，全程进行拍照，监控，照片可以实时传回勤务值班室。8、集成武警专线电话和监所内部电话。 9、警戒区域语音警告、鸣枪警告功能，异常情况对管辖区域内进行喊话功能。10、紧急情况申请子弹功能。11、支持视频监控物理按键通道选择、切换视频、分屏和设置等功能；通过哨位信息化终端面板控制键盘按键，手动切换显示、手动任意调用\切换监控画面、单\多画面切换分屏等功能。12、内置2个19寸10点电容触摸3MM防爆触摸显示屏，亮度可调节，分辨率1440*900 ，可切换视频全屏及防区视频实时观看功能。13、支持可视化兵力（哨位）部署图应用，兵力分布实时掌握。14、支持通道选择、云台控制、镜头变倍等触摸操作；具备通过物理按键和摇杆实现通道选择、云台控制、镜头变倍功能快捷操作；具备触摸屏选择云台控制的混合操作方式。15、触摸显示屏具备一键180度倒屏功能。16、可外接16路开关量报警信号输入及6路常开或常闭报警输出。17、报警触发时，所有报警信号都会以文字、声音、图形等形式呈现。18、子弹箱具有本地与远程强制打开功能，前端强制打开子弹箱报警录像功能。19、可与值班室实现网络对讲，网络对讲支持VoIP协议、支持号码输入功能。20、交换机非标配，21、可拓展嵌入100W功放模块；22、可拓展UPS功能；23、可拓展嵌入标准1U机架式光端机；</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功放模块</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1、功率：最大100W；2、输出：双路输出；3、支持莲花头话筒音频输入。</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高音喇叭</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100W</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个</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多业务光端机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单模SC接口、1路百兆网络接口、2路电话、1路双向485接口</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3.5 监门哨和备勤室</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哨位信息化终端（监门哨）</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哨位信息终端基于嵌入工业级低功耗硬件架构，采用国产工业级处理器芯片和嵌入式Linux实时多任务系统,集主控计算、界面交互、视频接入及交换于一体综合交互服务。2、支持9路1080P/16路720P视频实时解码显示；支持1/4/9/16画面切换；支持主、子码流切换；支持视频截图、录像、截图录像回查等功能；支持本地视频分组显示，支持分组视频快捷切换；支持视频轮巡。3、实现六种分类报警功能：暴狱、越狱、袭击、灾害、劫持、突发。4、实现哨兵自主调阅监控画面和操控云台 。5、支持哨位终端与门禁终端可视对讲、远程开门功能。6、系统或网络瘫痪时可支持物理紧急报警。7、通过指纹识别方式实现查哨、换岗考勤系统，全程进行拍照，监控，照片可以实时传回勤务值班室。8、集成武警专线电话和监所内部电话。 9、警戒区域语音警告、鸣枪警告功能，异常情况对管辖区域内进行喊话功能。10、紧急情况申请子弹功能。11、支持视频监控物理按键通道选择、切换视频、分屏和设置等功能；通过哨位信息化终端面板控制键盘按键，手动切换显示、手动任意调用\切换监控画面、单\多画面切换分屏等功能。12、内置3个19寸10点电容触摸3MM防爆触摸显示屏 ，亮度可调节，分辨率1440*900 ，可切换视频全屏及防区视频实时观看功能。13、支持可视化兵力（哨位）部署图应用，兵力分布实时掌握。14、支持通道选择、云台控制、镜头变倍等触摸操作；具备通过物理按键和摇杆实现通道选择、云台控制、镜头变倍功能快捷操作；具备触摸屏选择云台控制的混合操作方式。15、触摸显示屏具备一键180度倒屏功能。16、可外接16路开关量报警信号输入及6路常开或常闭报警输出。17、报警触发时，所有报警信号都会以文字、声音、图形等形式呈现。18、子弹箱具有本地与远程强制打开功能，前端强制打开子弹箱报警录像功能。19、可与值班室实现网络对讲，网络对讲支持VoIP协议、支持号码输入功能。20、交换机非标配，21、可拓展嵌入100W功放模块；22、可拓展UPS功能；</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哨位信息化终端（哨位简约型）</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哨位信息终端基于嵌入工业级低功耗硬件架构，采用国产工业级处理器芯片和嵌入式Linux实时多任务系统,集主控计算、界面交互、视频接入及交换于一体综合交互服务。2、支持9路1080P/16路720P视频实时解码显示；支持1/4/9/16画面切换；支持主、子码流切换；支持视频截图、录像、截图录像回查等功能；支持本地视频分组显示，支持分组视频快捷切换；支持视频轮巡。3、实现六种分类报警功能：暴狱、越狱、袭击、灾害、劫持、突发。4、实现哨兵自主调阅监控画面和操控云台 。5、支持哨位终端与门禁终端可视对讲、远程开门功能。6、系统或网络瘫痪时可支持物理紧急报警。7、通过指纹识别方式实现查哨、换岗考勤系统，全程进行拍照，监控，照片可以实时传回勤务值班室。8、集成武警专线电话和监所内部电话 。9、警戒区域语音警告、鸣枪警告功能，异常情况对管辖区域内进行喊话功能。10、支持视频监控物理按键通道选择、切换视频、分屏和设置等功能；通过哨位信息化终端面板控制键盘按键，手动切换显示、手动任意调用\切换监控画面、单\多画面切换分屏等功能。11、内置1个19寸10点电容触摸3MM防爆触摸显示屏 ，亮度可调节，分辨率1440*900 ，可切换视频全屏及防区视频实时观看功能。12、支持可视化兵力（哨位）部署图应用，兵力分布实时掌握。13、支持通道选择、云台控制、镜头变倍等触摸操作；具备通过物理按键和摇杆实现通道选择、云台控制、镜头变倍功能快捷操作；具备触摸屏选择云台控制的混合操作方式。14、触摸显示屏具备一键180度倒屏功能。15、可外接16路开关量报警信号输入及6路常开或常闭报警输出。16、报警触发时，所有报警信号都会以文字、声音、图形等形式呈现。17、可与值班室实现网络对讲，网络对讲支持VoIP协议、支持号码输入功能。</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功放模块</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1、功率：最大100W；2、输出：双路输出；3、支持莲花头话筒音频输入。</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高音喇叭</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100W</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个</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多业务光端机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单模SC接口、1路百兆网络接口、2路电话、1路双向485接口</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3.6 看守所值班室</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两警联动终端</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1、执勤报警：支持六种分类一键报警功能，分别为冲闯、破坏、袭击、灾害、劫持、突发；2、无需增加后台服务器，与武警勤务管控平台无缝对接，实现报警两警联动；3、报警触发：所有报警信号支持文字提示、声音播报、报警灯闪烁工能；4、报警联动：终端液晶屏支持显示报警状态、报警联动视频功能；5、支持10.1寸显示屏；6、具备4路1080P视频实时解码能力；7、支持与武警值班室应急可视语音对讲功能；8、终端自带加密主机，支持两警网络物理隔离，加密信号通过光纤传输，确保两警网络保密安全；9、支持拓展外接一部电话机；10、使用网络物理隔离，确保两警信息安全，支持光纤传输数据；11、支持与武警执勤安保信息系统连接实现两警联防联动执勤；12、前置摄像机具备人脸查哨、换岗，验证识别和登录等功能。</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千兆网络收发器</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利旧</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8路电话光端机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利旧</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四、执勤枪支管理系统：一、二号哨（各1套）</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枪械离岗检测主机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采用最新UWB技术，抗干扰强；2、唯一标识：每个岗亭安装基站、枪标，全网唯一ID标识；3、精确测量：岗亭上的基站能实时测量100m半径范围内枪标的精确距离；4、报警联动：同一区域实现岗亭与枪标、岗亭与岗亭之间报警联动；5、 离位报警：一旦枪标离开合法区域，立刻触发基站声光报警器及平台报警；6、系统管理：枪标、基站管理，报警信息的历史查询功能等；7、阅读主机对枪支ID标识识别距离20米；8、主机误识误判率不高于0.1 % 报警信号发出延时不大于l. 5S；9、报警延时＜0.5秒；10、同步感知终端数＞10个</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枪械离岗电子标签</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唯一标识：每个岗亭安装基站、枪标，全网唯一ID标识；2、采用最新UWB技术，抗干扰强；3、离位报警：一旦枪标离开合法区域，立刻触发基站声光报警器及平台报警；4、低压报警：一旦枪标出现欠压情况，立刻触发基站声光报警器及平台报警；5、防拆报警：一旦枪标出现非法拆卸情况，立刻触发基站声光报警器及平台报警；6、 电子标签续航能力: ＞60天；7、 报警信息存储时间: ＞100；。</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50" w:type="dxa"/>
            <w:gridSpan w:val="9"/>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五、无线手动报警系统：自卫哨和一、二号哨（各1套）</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无线报警主机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支持接收无线报警手持终端的一键报警功能；2、无缝对接哨位系统勤务管控平台实现报警联动功能；3、灵活配置可同时使用多台报警主机实现无线网络交叉覆盖；4、工作频率：采用433MHz独立频段通讯，安全可靠，不受外界信号干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5、识别距离：采用无线通信，空旷通讯距离能达到2km；6、 硬件接口：支持RS232或者RS485、2个以太网；7、 处理并发报警：可同时处理6个报警信号；8、识别方向：全向；9、天线接口：SMA天线标准接口；10、扩展功能：可以扩展支持3G/4G和WIFI；11、接收灵敏度：&lt;-107dBm；12、支持通信速率6级可调节功能；13、多层保护电路：无线报警主机拥有以太网接口内置1.5KV电磁隔离保护电路，电源接口内置反相保护和过压保护电路，天线接口防雷保护电路，RS232/RS485/RS422接口内置15KVESD等多层保护电路；14、高性能处理：高性能处理，系统稳定：无线报警主机采用WDT看门狗设计的高性能工业级LoRa模块，采用高性能工业级无线模块和高性能工业级32位通信处理器；15、一键报警功能：支持接收无线报警便捷终端的一键报警功能；16、无缝对接：无缝对接哺位系统勤务管控平台实现报警联动功能；17、设备管理：提供功能强大的中心管理软件，方便设备管理。</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无线报警便携终端</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工作频率：433MHz；2、通讯距离：2km（室内）9km(室外)；3、硬件接口：不低于5类报警按钮、1个信号测试按钮；4、续航时间：超过20天,待机3个月；5、识别方向：全向；6、天线接口：SMA天线标准接口；7、接收灵敏度：&lt;-107dBm；8、支持OTA升级功能、支持空中唤醒功能；9、多数据自动分包传输，保证数据包的完整不丢失；10、高效的循环交织纠错编码。</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六、电子围栏和激光对射报警系统</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大型网络总线报警主机</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 支持本地≥8路防区+总线扩展248路防区，共计256路防区报警输入；支持4路本地防区报警输出，可扩展至256路；支持触发器时控输出；2. 支持两条总线，每条可达≥2400M（RVV2*1.5mm²），支持星型、树形、手牵手总线拓扑，总线无极性；3. 支持定时布撤防，每天≥8个时段；支持≥8个子系统和一个公共子系统；支持主机防拆报警；支持探测器防拆报警（本地≥8路）；支持≥1路受控警号（DC12V750mA）输出；4. 支持CID报告，支持话机复用；5. 支持防区报警、系统状态事件联动输出，发生/恢复事件和时间可灵活配置；6. 支持≥4个独立中心组，可灵活配置报警数据上传策略、冗余备份策略；7. 支持两种传输模式：网络传输、电话线传输，支持2组独立以太网接警中心，支持2组独立电话接警中心；8. 支持≥32个LCD键盘包括1个全局键盘和31个子系统键盘，键盘总线总长度不得大于1.2km（Φ1.5mm）；9. 支持≥1个安装员用户、≥1个主用户、≥199个操作用户；支持≥16个远程管理用户，1个远程数据通道；10. 支持≥8000条报警事件记录，≥2000条操作事件和≥1500条管理操作记录，支持远程搜索查询事件日志；11. 支持外置辅助电源--标准蓄电池，自动充电控制，电压实时监测，掉电保护；12. 支持AC220V电源供电,主辅电源可自动切换，支持警号、辅助、键盘等电源保护，支持1路12V/1A辅电输出。</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双防区模块</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总线网络报警主机八防区扩展模块/8个扩展防区数/31最大级联数/2.7mA。</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双防区脉冲探测器</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1.4线制显示每个防区的工作电压值2.电压值可无级调控3.显示每个防区的工作电流值4.防区报警显示5.实时监控每个防区情况6.脉冲频率可调控7.报警响应时间调控8.继电器报警输出时间可调控9.采用4.3寸真彩屏设计10.内置拨码式单地址码模块，自带拨码开关，使用多防区时无须另外增加地址码模块，可以直接接入485总线与中心控制设备通信。</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电子脉冲围栏</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六线电子脉冲围栏，单防区长度＜40米，承重杆间隔＜40米，中间杆间隔小于4.5米；含合金线、受力柱、受力柱底座、不锈钢受力柱、双绝缘高压线等配套设备。</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300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米</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激光入侵探测器</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四光束激光入侵探测器,探测距离100米,、防护等级：IP67、 材质，铝合金、一类安全激光光源，等级为CLASS Ⅰ</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支架</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不锈钢材质L型，支持激光入侵探测器安装，高度不低于50cm。</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个</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七、屏幕显示系统</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46寸LCD拼接屏（1.7mm拼缝）</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1.物理分辨率达到1920×1080，响应时间≤8ms。2.物理拼缝≤1.7mm，亮度达到600cd/㎡，对比度达到6500:1，图像显示清晰度≥950TVL，亮度鉴别等级为11级。提供公安部检测报告复印件。3. 具备VGA×1，HDMI×1，DVI×1，BNC×1视频输入接口，具备RJ45×2，USB×1，红外*1控制接口。4. 输出接口：VGA×1，DVI×1，BNC×1。5.视角可达178°。屏幕漏光度小于等于0.006cd/㎡，照度在95KLux能正常工作。6.液晶拼接屏必须采用整机设计，严禁使用飞线屏（供货时如果发现飞线屏，业主有权取消中标资格），显示屏具备完整后壳，不得以支架或挡板替代，无任何裸露在外的电路线，整体美观大方，而且产品符合检测规范。7.具备智能光感护眼功能,液晶单元可自动识别环境光强弱,根据环境光变化调节屏幕亮度。8.支持自动变频节能功能。9.内置黑白精显模式，可将彩色信号转换成黑白灰度模式并提高图像细节辨认能力。10. 支持≥7色独立调整、精确色彩控制、肤色校正功能。内置图像处理引擎支持、RGBCMYF七种颜色亮度(IBC)、色调(IHC)、饱和度(ICC)独立调整。需要具有厂家自带的自动校色系统，不需要人工参与自动对显示器进行色彩属性一致性校准。显示器色温可以以100K为单位，在2000K至10000K之间调节。11. 具备倍增畅显功能,可将输入的25/30 帧图像转成50/60 帧输出,使图像更加流畅。12.通过调整γ曲线，使得实际γ曲线更为平滑且更为准确，从而提升显示设备的显示效果。13.支持自动镜像功能，可以实现显示内容（视频、文本等）镜像、OSD菜单的自定义0-360°旋转。14.采用10bit芯片，显示图像色彩度达到1.07billion，显示256灰阶。15.采用2mm金属结构件，3m辐射范围值在47db以内。16.采用智能温控设计，散热效率提升50%以上。（需提供在招标日期之前由权威机构出具的检测报告复印件，原件备查）17. 产品采用原装屏体，色彩还原度达到JJG211-2005标准要求；18.主板具有信号强度自动检测技术，实时检测信号强度，并在屏幕上显示当前信号强度。19.采用同步显示控制技术、不同信号转换显示无延时、实现同步开机同步显示。20. 液晶显示单元具有色坐标一致性，根据CIE1931标准色度系统，液晶显示单元色坐标误差在±0.01以内。21.风扇具备良好的散热效果，风扇散热性能≥30%。</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12路视频解码器</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 采用嵌入式架构，专用Linux系统，使用DSP解码。不得采用工控机或者PC机的X86架构。2.20个RJ45网络接口，1路语音输入，1路语音输出，1个RS232接口，1个RS485接口，8路报警输入，8路报警输出，1个VGA视频输入接口，1个DVI-I输入接口。输出口支持12个HDMI接口。（需提供在招标日期之前由权威机构出具的检测报告复印件，原件备查）3. 支持1、2、4、6、8、9、10、12、16、25、36画面分割显示。4. 可通过客户端软件将1路输入视频图像发送至多个输出接口拼接显示，支持1×2、1×3、1×4、1×5、1×6、1×7、1×8、1×9、1×10、1×11、1×12、2×1、2×2、2×3、2×4、2×5、2×6、3×1、3×2、3×3、3×4、4×1、4×2、4×3、5×1、5×2、6×1、6×2、7×1、8×1、9×1、10×1、11×1、12×1的拼接显示。5. 可通过客户端软件对接入的云台进行控制；可通过RS-485接口连接键盘实现键盘对接入的云台进行控制。6. 可通过客户端软件对设备进行恢复出厂设置。7. 可将设备当前的解码输出模式设置为一个场景，设备可保存多个场景，并可通过客户端软件切换设备场景。8. 具有NTP校时及客户端软件手动校时两种校时方式。9. 设备通过高温、低温、恒定湿热试验（高温55±2℃，低温-10±3℃，持续时间2H；相对湿度90%~95%、温度40±2℃，持续时间48H）。10. 可对以下分辨率的视频图像进行解码后输出：12路分辨率为4000×3000（20fps）的视频图像；24路分辨率为4096×2160（25fps）的视频图像；24路分辨率为3840×2160（25fps）的视频图像；36路分辨率为2592×1944（30fps）的视频图像；60路分辨率为2048×1536（30fps）的视频图像；96路分辨率为1920×1080（30fps）的视频图像；192路分辨率为1280×720（30fps）的视频图像。11. 可对以下编码格式的视频图像进行解码后输出：H.264、H.265、Smart264、Smart265、MPEG4视频图像。（需提供在招标日期之前由权威机构出具的检测报告复印件，原件备查）12. 可对以下分辨率及编码格式的视频图像进行解码后输出：24路分辨率为1920×1080（30fps）的MJPEG视频图像。</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LED走字屏</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室内单彩，P3.75  3M×0.4M</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2.2</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电视墙</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与武警支队样式统一，下侧设有19寸标准机柜。</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执勤操作台</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jc w:val="both"/>
              <w:rPr>
                <w:rFonts w:ascii="宋体" w:hAnsi="宋体" w:cs="宋体"/>
                <w:kern w:val="0"/>
              </w:rPr>
            </w:pP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陶瓷面静电地板</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jc w:val="both"/>
              <w:rPr>
                <w:rFonts w:ascii="宋体" w:hAnsi="宋体" w:cs="宋体"/>
                <w:kern w:val="0"/>
              </w:rPr>
            </w:pP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7</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HDMI高清线</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双屏蔽，1.5—10米（可选）</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条</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020" w:type="dxa"/>
            <w:gridSpan w:val="8"/>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widowControl/>
              <w:jc w:val="left"/>
              <w:rPr>
                <w:rFonts w:ascii="宋体" w:hAnsi="宋体" w:cs="宋体"/>
                <w:kern w:val="0"/>
              </w:rPr>
            </w:pPr>
            <w:r>
              <w:rPr>
                <w:rFonts w:hint="eastAsia" w:ascii="宋体" w:hAnsi="宋体" w:eastAsia="宋体" w:cs="宋体"/>
                <w:i w:val="0"/>
                <w:color w:val="000000"/>
                <w:kern w:val="0"/>
                <w:sz w:val="21"/>
                <w:szCs w:val="21"/>
                <w:u w:val="none"/>
                <w:lang w:val="en-US" w:eastAsia="zh-CN" w:bidi="ar"/>
              </w:rPr>
              <w:t>八、其它</w:t>
            </w: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客户端电脑</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Intel i5六代以上处理器、128G+1T硬盘、8G内存容量、1TB硬盘容量、21.5寸液晶显示器、支持WIN7操作系统。</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42U弱电机柜</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val="0"/>
              <w:jc w:val="both"/>
              <w:rPr>
                <w:rFonts w:ascii="宋体" w:hAnsi="宋体" w:cs="宋体"/>
                <w:kern w:val="0"/>
              </w:rPr>
            </w:pP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3</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六类非屏蔽网线</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1、Cat6非屏蔽双绞线；2、LSZH(低烟无卤)防火等级；3、23AWG；4、工作温度为-20~60℃；5、标准：符合ISO/IEC 11801、TIA-568-C.2、GB/T 18015.5要求；6、所用材料符合RoHS要求；7、并通过符合IEC60332-1标准的LSZH防火等级认证；8、性能指标优于现行6类线缆250MHz标准；9、标准装箱长度:305m±1.5m；10、芯线规格:23AWG；11、无氧铜；12、线缆结构：4对8芯双绞线；13、每对之间采用十字骨架隔离；14、每芯均有颜色区分；15、外皮印有厂商标识及电缆编码；16、有撕裂绳。</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2500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米</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4</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电源线</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RVV3*2.5</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100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米</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5</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电源线</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RVV3*1.0</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2000</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米</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6</w:t>
            </w:r>
          </w:p>
        </w:tc>
        <w:tc>
          <w:tcPr>
            <w:tcW w:w="11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辅材配件</w:t>
            </w:r>
          </w:p>
        </w:tc>
        <w:tc>
          <w:tcPr>
            <w:tcW w:w="457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PVC管，卡钉，水晶头，插座等零星材料</w:t>
            </w:r>
          </w:p>
        </w:tc>
        <w:tc>
          <w:tcPr>
            <w:tcW w:w="71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1</w:t>
            </w:r>
          </w:p>
        </w:tc>
        <w:tc>
          <w:tcPr>
            <w:tcW w:w="68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cs="宋体"/>
                <w:kern w:val="0"/>
              </w:rPr>
            </w:pPr>
            <w:r>
              <w:rPr>
                <w:rFonts w:hint="eastAsia" w:ascii="宋体" w:hAnsi="宋体" w:eastAsia="宋体" w:cs="宋体"/>
                <w:i w:val="0"/>
                <w:color w:val="000000"/>
                <w:kern w:val="0"/>
                <w:sz w:val="21"/>
                <w:szCs w:val="21"/>
                <w:u w:val="none"/>
                <w:lang w:val="en-US" w:eastAsia="zh-CN" w:bidi="ar"/>
              </w:rPr>
              <w:t>项</w:t>
            </w: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71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10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5" w:type="dxa"/>
              <w:bottom w:w="0" w:type="dxa"/>
              <w:right w:w="105" w:type="dxa"/>
            </w:tcMar>
            <w:vAlign w:val="bottom"/>
          </w:tcPr>
          <w:p>
            <w:pPr>
              <w:widowControl/>
              <w:jc w:val="left"/>
              <w:rPr>
                <w:rFonts w:ascii="宋体" w:hAnsi="宋体" w:cs="宋体"/>
                <w:kern w:val="0"/>
              </w:rPr>
            </w:pPr>
          </w:p>
        </w:tc>
        <w:tc>
          <w:tcPr>
            <w:tcW w:w="3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left"/>
              <w:rPr>
                <w:rFonts w:ascii="宋体" w:hAnsi="宋体" w:cs="宋体"/>
                <w:kern w:val="0"/>
              </w:rPr>
            </w:pPr>
          </w:p>
        </w:tc>
      </w:tr>
    </w:tbl>
    <w:p/>
    <w:p>
      <w:pPr>
        <w:rPr>
          <w:rFonts w:hint="eastAsia"/>
        </w:rPr>
      </w:pPr>
    </w:p>
    <w:p>
      <w:pPr>
        <w:widowControl/>
        <w:shd w:val="clear" w:color="auto" w:fill="FFFFFF"/>
        <w:spacing w:line="360" w:lineRule="auto"/>
        <w:jc w:val="left"/>
        <w:rPr>
          <w:rFonts w:ascii="宋体" w:hAnsi="宋体" w:eastAsia="宋体" w:cs="宋体"/>
          <w:kern w:val="0"/>
          <w:sz w:val="24"/>
          <w:szCs w:val="24"/>
        </w:rPr>
      </w:pPr>
    </w:p>
    <w:p>
      <w:pPr>
        <w:pStyle w:val="3"/>
        <w:sectPr>
          <w:pgSz w:w="11906" w:h="16838"/>
          <w:pgMar w:top="1440" w:right="1800" w:bottom="1440" w:left="1800" w:header="851" w:footer="992" w:gutter="0"/>
          <w:pgNumType w:start="1"/>
          <w:cols w:space="425" w:num="1"/>
          <w:docGrid w:type="lines" w:linePitch="312" w:charSpace="0"/>
        </w:sectPr>
      </w:pPr>
      <w:bookmarkStart w:id="5" w:name="_Toc14354"/>
    </w:p>
    <w:p>
      <w:pPr>
        <w:pStyle w:val="3"/>
      </w:pPr>
      <w:r>
        <w:t>三、商务条件（以下内容不允许负偏离）</w:t>
      </w:r>
      <w:bookmarkEnd w:id="5"/>
    </w:p>
    <w:p>
      <w:pPr>
        <w:tabs>
          <w:tab w:val="left" w:pos="0"/>
        </w:tabs>
        <w:spacing w:line="400" w:lineRule="exact"/>
        <w:ind w:right="-85"/>
        <w:jc w:val="left"/>
        <w:outlineLvl w:val="1"/>
        <w:rPr>
          <w:rStyle w:val="18"/>
          <w:rFonts w:hint="eastAsia" w:ascii="宋体" w:hAnsi="宋体" w:eastAsia="宋体" w:cs="宋体"/>
          <w:b/>
          <w:color w:val="393939"/>
          <w:sz w:val="24"/>
          <w:szCs w:val="24"/>
          <w:shd w:val="clear" w:color="auto" w:fill="FFFFFF"/>
        </w:rPr>
      </w:pPr>
      <w:r>
        <w:rPr>
          <w:rStyle w:val="18"/>
          <w:rFonts w:hint="eastAsia" w:ascii="宋体" w:hAnsi="宋体" w:eastAsia="宋体" w:cs="宋体"/>
          <w:b/>
          <w:color w:val="393939"/>
          <w:sz w:val="24"/>
          <w:szCs w:val="24"/>
          <w:shd w:val="clear" w:color="auto" w:fill="FFFFFF"/>
        </w:rPr>
        <w:t>包：1</w:t>
      </w:r>
    </w:p>
    <w:p>
      <w:pPr>
        <w:tabs>
          <w:tab w:val="left" w:pos="525"/>
          <w:tab w:val="left" w:pos="840"/>
        </w:tabs>
        <w:spacing w:line="400" w:lineRule="exact"/>
        <w:outlineLvl w:val="2"/>
        <w:rPr>
          <w:rFonts w:hint="eastAsia" w:ascii="仿宋_GB2312" w:eastAsia="仿宋_GB2312"/>
          <w:szCs w:val="21"/>
        </w:rPr>
      </w:pPr>
      <w:r>
        <w:rPr>
          <w:rFonts w:hint="eastAsia" w:ascii="宋体" w:hAnsi="宋体" w:eastAsia="宋体"/>
          <w:b/>
          <w:bCs/>
          <w:kern w:val="44"/>
          <w:sz w:val="24"/>
          <w:lang w:eastAsia="zh-CN"/>
        </w:rPr>
        <w:t>一</w:t>
      </w:r>
      <w:r>
        <w:rPr>
          <w:rFonts w:hint="eastAsia" w:ascii="宋体" w:hAnsi="宋体"/>
          <w:b/>
          <w:bCs/>
          <w:kern w:val="44"/>
          <w:sz w:val="24"/>
        </w:rPr>
        <w:t>、</w:t>
      </w:r>
      <w:bookmarkStart w:id="6" w:name="_Toc5297"/>
      <w:bookmarkStart w:id="7" w:name="_Toc26"/>
      <w:bookmarkStart w:id="8" w:name="_Toc360698598"/>
      <w:bookmarkStart w:id="9" w:name="_Toc32650"/>
      <w:r>
        <w:rPr>
          <w:rFonts w:hint="eastAsia" w:ascii="宋体" w:hAnsi="宋体"/>
          <w:b/>
          <w:bCs/>
          <w:kern w:val="44"/>
          <w:sz w:val="24"/>
        </w:rPr>
        <w:t>项目设计和建设要求</w:t>
      </w:r>
    </w:p>
    <w:bookmarkEnd w:id="6"/>
    <w:bookmarkEnd w:id="7"/>
    <w:bookmarkEnd w:id="8"/>
    <w:bookmarkEnd w:id="9"/>
    <w:p>
      <w:pPr>
        <w:pStyle w:val="222"/>
        <w:spacing w:line="400" w:lineRule="exact"/>
        <w:ind w:firstLine="484" w:firstLineChars="202"/>
        <w:rPr>
          <w:rFonts w:hint="eastAsia" w:hAnsi="宋体"/>
          <w:color w:val="auto"/>
          <w:kern w:val="2"/>
        </w:rPr>
      </w:pPr>
      <w:bookmarkStart w:id="10" w:name="_Toc24285"/>
      <w:r>
        <w:rPr>
          <w:rFonts w:hint="eastAsia" w:hAnsi="宋体"/>
          <w:color w:val="auto"/>
          <w:kern w:val="2"/>
        </w:rPr>
        <w:t>本项目招标范围包括设备的设计、供应、运输、安装、调试、试运行、验收。提供所需要的硬件设备及软件，并完成功能集成的任务。投标方应根据每个地点的实际情况进行现场勘察，设计合理的技术方案和施工计划，应包括电源、信号过路地下管道埋设或线路架空施工、道路路面开挖及按原样恢复、杆件及基础、线材连接、设备安装调试，并且采用整根线缆连接，线缆中间不允许有断点接头。施工过程中不得损坏路面设施，否则由投标方承担责任。</w:t>
      </w:r>
      <w:bookmarkEnd w:id="10"/>
    </w:p>
    <w:p>
      <w:pPr>
        <w:widowControl/>
        <w:spacing w:line="400" w:lineRule="exact"/>
        <w:jc w:val="left"/>
        <w:outlineLvl w:val="1"/>
        <w:rPr>
          <w:rFonts w:hint="eastAsia" w:ascii="宋体" w:hAnsi="宋体"/>
          <w:b/>
          <w:bCs/>
          <w:kern w:val="44"/>
          <w:sz w:val="24"/>
        </w:rPr>
      </w:pPr>
    </w:p>
    <w:p>
      <w:pPr>
        <w:widowControl/>
        <w:spacing w:line="400" w:lineRule="exact"/>
        <w:jc w:val="left"/>
        <w:outlineLvl w:val="1"/>
        <w:rPr>
          <w:rFonts w:hint="eastAsia" w:ascii="宋体" w:hAnsi="宋体"/>
          <w:b/>
          <w:bCs/>
          <w:kern w:val="44"/>
          <w:sz w:val="24"/>
        </w:rPr>
      </w:pPr>
      <w:r>
        <w:rPr>
          <w:rFonts w:hint="eastAsia" w:ascii="宋体" w:hAnsi="宋体"/>
          <w:b/>
          <w:bCs/>
          <w:kern w:val="44"/>
          <w:sz w:val="24"/>
          <w:lang w:eastAsia="zh-CN"/>
        </w:rPr>
        <w:t>二</w:t>
      </w:r>
      <w:r>
        <w:rPr>
          <w:rFonts w:hint="eastAsia" w:ascii="宋体" w:hAnsi="宋体"/>
          <w:b/>
          <w:bCs/>
          <w:kern w:val="44"/>
          <w:sz w:val="24"/>
        </w:rPr>
        <w:t>、安装和调试</w:t>
      </w:r>
    </w:p>
    <w:p>
      <w:pPr>
        <w:pStyle w:val="7"/>
        <w:tabs>
          <w:tab w:val="left" w:pos="284"/>
        </w:tabs>
        <w:spacing w:line="400" w:lineRule="exact"/>
        <w:ind w:firstLine="480" w:firstLineChars="200"/>
        <w:rPr>
          <w:rFonts w:hAnsi="宋体"/>
          <w:bCs/>
          <w:sz w:val="24"/>
        </w:rPr>
      </w:pPr>
      <w:r>
        <w:rPr>
          <w:rFonts w:hint="eastAsia" w:hAnsi="宋体"/>
          <w:bCs/>
          <w:sz w:val="24"/>
        </w:rPr>
        <w:t>项目完成交付使用后，由中标供货方负责设备安装调试及技术指导：</w:t>
      </w:r>
    </w:p>
    <w:p>
      <w:pPr>
        <w:pStyle w:val="7"/>
        <w:spacing w:line="400" w:lineRule="exact"/>
        <w:ind w:firstLine="480" w:firstLineChars="200"/>
        <w:rPr>
          <w:rFonts w:hAnsi="宋体"/>
          <w:bCs/>
          <w:sz w:val="24"/>
        </w:rPr>
      </w:pPr>
      <w:r>
        <w:rPr>
          <w:rFonts w:hint="eastAsia" w:hAnsi="宋体"/>
          <w:bCs/>
          <w:sz w:val="24"/>
        </w:rPr>
        <w:t>1、由中标人负责派技术人员到现场进行安装、调试，并负责调试至验收合格,期间产生的所有费用由中标人承担。</w:t>
      </w:r>
    </w:p>
    <w:p>
      <w:pPr>
        <w:widowControl/>
        <w:spacing w:line="400" w:lineRule="exact"/>
        <w:ind w:firstLine="480" w:firstLineChars="200"/>
        <w:jc w:val="left"/>
        <w:rPr>
          <w:rFonts w:hint="eastAsia" w:ascii="宋体" w:hAnsi="宋体"/>
          <w:sz w:val="24"/>
        </w:rPr>
      </w:pPr>
      <w:r>
        <w:rPr>
          <w:rFonts w:hint="eastAsia" w:ascii="宋体" w:hAnsi="宋体"/>
          <w:sz w:val="24"/>
        </w:rPr>
        <w:t>2、中标方应在到现场施工一周前，向采购方提供安装进度计划表及需采购方配合的事项。</w:t>
      </w:r>
    </w:p>
    <w:p>
      <w:pPr>
        <w:widowControl/>
        <w:spacing w:line="400" w:lineRule="exact"/>
        <w:ind w:firstLine="480" w:firstLineChars="200"/>
        <w:jc w:val="left"/>
        <w:rPr>
          <w:rFonts w:hint="eastAsia" w:ascii="宋体" w:hAnsi="宋体"/>
          <w:sz w:val="24"/>
        </w:rPr>
      </w:pPr>
      <w:r>
        <w:rPr>
          <w:rFonts w:hint="eastAsia" w:ascii="宋体" w:hAnsi="宋体"/>
          <w:sz w:val="24"/>
        </w:rPr>
        <w:t>3、安装施工过程中，应事先通知采购方，经同意后再进行安装。</w:t>
      </w:r>
    </w:p>
    <w:p>
      <w:pPr>
        <w:widowControl/>
        <w:spacing w:line="400" w:lineRule="exact"/>
        <w:ind w:firstLine="480" w:firstLineChars="200"/>
        <w:jc w:val="left"/>
        <w:rPr>
          <w:rFonts w:hint="eastAsia" w:ascii="宋体" w:hAnsi="宋体"/>
          <w:sz w:val="24"/>
        </w:rPr>
      </w:pPr>
      <w:r>
        <w:rPr>
          <w:rFonts w:hint="eastAsia" w:ascii="宋体" w:hAnsi="宋体"/>
          <w:sz w:val="24"/>
        </w:rPr>
        <w:t>4、中标方在制作、运输、安装、布线及调试过程中，应严格按照国家有关的操作规程和施工规范进行作业，确保安装牢固，安全可靠。</w:t>
      </w:r>
    </w:p>
    <w:p>
      <w:pPr>
        <w:widowControl/>
        <w:spacing w:line="400" w:lineRule="exact"/>
        <w:ind w:firstLine="480" w:firstLineChars="200"/>
        <w:jc w:val="left"/>
        <w:rPr>
          <w:rFonts w:hint="eastAsia" w:ascii="宋体" w:hAnsi="宋体"/>
          <w:sz w:val="24"/>
        </w:rPr>
      </w:pPr>
      <w:r>
        <w:rPr>
          <w:rFonts w:hint="eastAsia" w:ascii="宋体" w:hAnsi="宋体"/>
          <w:sz w:val="24"/>
        </w:rPr>
        <w:t>5、中标人应制定详细的施工计划，并将施工进度安排计划报采购人备案，确保项目按时完成。采购人将不定期根据进度计划对项目实施进度进行抽查；</w:t>
      </w:r>
    </w:p>
    <w:p>
      <w:pPr>
        <w:widowControl/>
        <w:spacing w:line="400" w:lineRule="exact"/>
        <w:ind w:firstLine="480" w:firstLineChars="200"/>
        <w:jc w:val="left"/>
        <w:rPr>
          <w:rFonts w:hint="eastAsia" w:ascii="宋体" w:hAnsi="宋体"/>
          <w:sz w:val="24"/>
        </w:rPr>
      </w:pPr>
      <w:r>
        <w:rPr>
          <w:rFonts w:hint="eastAsia" w:ascii="宋体" w:hAnsi="宋体"/>
          <w:sz w:val="24"/>
        </w:rPr>
        <w:t>6、中标方在制作运输安装过程中，应加强作业现场管理，保持整洁有序，不得破坏环境，否则由中标方负全责。</w:t>
      </w:r>
    </w:p>
    <w:p>
      <w:pPr>
        <w:widowControl/>
        <w:spacing w:line="400" w:lineRule="exact"/>
        <w:ind w:firstLine="480" w:firstLineChars="200"/>
        <w:jc w:val="left"/>
        <w:rPr>
          <w:rFonts w:hint="eastAsia" w:ascii="宋体" w:hAnsi="宋体"/>
          <w:sz w:val="24"/>
        </w:rPr>
      </w:pPr>
      <w:r>
        <w:rPr>
          <w:rFonts w:hint="eastAsia" w:ascii="宋体" w:hAnsi="宋体"/>
          <w:sz w:val="24"/>
        </w:rPr>
        <w:t>7、施工过程中的隐蔽工程部分，包括管道敷设、杆件基础等都应在施工时进行拍照存档，项目竣工后作为验收资料交付采购人。</w:t>
      </w:r>
    </w:p>
    <w:p>
      <w:pPr>
        <w:widowControl/>
        <w:spacing w:line="400" w:lineRule="exact"/>
        <w:ind w:firstLine="480" w:firstLineChars="200"/>
        <w:jc w:val="left"/>
        <w:rPr>
          <w:rFonts w:hint="eastAsia" w:ascii="宋体" w:hAnsi="宋体"/>
          <w:sz w:val="24"/>
        </w:rPr>
      </w:pPr>
      <w:r>
        <w:rPr>
          <w:rFonts w:hint="eastAsia" w:ascii="宋体" w:hAnsi="宋体"/>
          <w:sz w:val="24"/>
        </w:rPr>
        <w:t>8、中标方必须加强制作、运输及安装施工过程中的安全防护，在此过程中，如因中标方原因导致的双方及第三方的任何人身、设备安全事故及财产损失均由中标人和施工方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供应商，给采购人造成的损失，还应承担赔偿责任。</w:t>
      </w:r>
    </w:p>
    <w:p>
      <w:pPr>
        <w:widowControl/>
        <w:spacing w:line="400" w:lineRule="exact"/>
        <w:ind w:firstLine="600" w:firstLineChars="250"/>
        <w:jc w:val="left"/>
        <w:rPr>
          <w:rFonts w:hint="eastAsia" w:ascii="宋体" w:hAnsi="宋体"/>
          <w:sz w:val="24"/>
        </w:rPr>
      </w:pPr>
      <w:r>
        <w:rPr>
          <w:rFonts w:hint="eastAsia" w:ascii="宋体" w:hAnsi="宋体"/>
          <w:sz w:val="24"/>
        </w:rPr>
        <w:t>9、若安装调试过程对原建筑或原成品产生破坏，中标供应商要负责修补复原。</w:t>
      </w:r>
    </w:p>
    <w:p>
      <w:pPr>
        <w:widowControl/>
        <w:spacing w:line="400" w:lineRule="exact"/>
        <w:jc w:val="left"/>
        <w:outlineLvl w:val="1"/>
        <w:rPr>
          <w:rFonts w:hint="eastAsia" w:ascii="宋体" w:hAnsi="宋体"/>
          <w:b/>
          <w:bCs/>
          <w:kern w:val="44"/>
          <w:sz w:val="24"/>
        </w:rPr>
      </w:pPr>
      <w:bookmarkStart w:id="11" w:name="_Toc392679543"/>
      <w:r>
        <w:rPr>
          <w:rFonts w:hint="eastAsia" w:ascii="宋体" w:hAnsi="宋体"/>
          <w:b/>
          <w:bCs/>
          <w:kern w:val="44"/>
          <w:sz w:val="24"/>
          <w:lang w:eastAsia="zh-CN"/>
        </w:rPr>
        <w:t>三</w:t>
      </w:r>
      <w:r>
        <w:rPr>
          <w:rFonts w:hint="eastAsia" w:ascii="宋体" w:hAnsi="宋体"/>
          <w:b/>
          <w:bCs/>
          <w:kern w:val="44"/>
          <w:sz w:val="24"/>
        </w:rPr>
        <w:t>、验收</w:t>
      </w:r>
      <w:bookmarkEnd w:id="11"/>
    </w:p>
    <w:p>
      <w:pPr>
        <w:spacing w:line="400" w:lineRule="exact"/>
        <w:rPr>
          <w:rFonts w:hint="eastAsia" w:ascii="宋体" w:hAnsi="宋体"/>
          <w:sz w:val="24"/>
        </w:rPr>
      </w:pPr>
      <w:r>
        <w:rPr>
          <w:rFonts w:hint="eastAsia" w:ascii="宋体" w:hAnsi="宋体"/>
          <w:sz w:val="24"/>
        </w:rPr>
        <w:t>1、验收标准</w:t>
      </w:r>
    </w:p>
    <w:p>
      <w:pPr>
        <w:spacing w:line="400" w:lineRule="exact"/>
        <w:ind w:firstLine="480" w:firstLineChars="200"/>
        <w:rPr>
          <w:rFonts w:hint="eastAsia" w:ascii="宋体" w:hAnsi="宋体" w:eastAsia="宋体"/>
          <w:sz w:val="24"/>
          <w:lang w:val="en-US" w:eastAsia="zh-CN"/>
        </w:rPr>
      </w:pPr>
      <w:r>
        <w:rPr>
          <w:rFonts w:hint="eastAsia" w:ascii="宋体" w:hAnsi="宋体"/>
          <w:sz w:val="24"/>
        </w:rPr>
        <w:t>系统符合招标文件、部省相关技术规范和国家有关质量标准。设备质量达到设计要求，安装调试各项指标符合技术参数，产品应能通过公安等相关检验部门的检验。</w:t>
      </w:r>
      <w:r>
        <w:rPr>
          <w:rFonts w:hint="eastAsia" w:ascii="宋体" w:hAnsi="宋体"/>
          <w:sz w:val="24"/>
          <w:lang w:eastAsia="zh-CN"/>
        </w:rPr>
        <w:t>所有监控设备接入视频共享平台，违章数据达到交警需求。</w:t>
      </w:r>
      <w:r>
        <w:rPr>
          <w:rFonts w:hint="eastAsia" w:ascii="宋体" w:hAnsi="宋体"/>
          <w:sz w:val="24"/>
          <w:lang w:val="en-US" w:eastAsia="zh-CN"/>
        </w:rPr>
        <w:t>jx</w:t>
      </w:r>
    </w:p>
    <w:p>
      <w:pPr>
        <w:spacing w:line="400" w:lineRule="exact"/>
        <w:rPr>
          <w:rFonts w:hint="eastAsia" w:ascii="宋体" w:hAnsi="宋体"/>
          <w:sz w:val="24"/>
        </w:rPr>
      </w:pPr>
      <w:bookmarkStart w:id="12" w:name="_Toc388866295"/>
      <w:r>
        <w:rPr>
          <w:rFonts w:hint="eastAsia" w:ascii="宋体" w:hAnsi="宋体"/>
          <w:sz w:val="24"/>
        </w:rPr>
        <w:t>2、验收程序</w:t>
      </w:r>
      <w:bookmarkEnd w:id="12"/>
    </w:p>
    <w:p>
      <w:pPr>
        <w:widowControl/>
        <w:spacing w:line="400" w:lineRule="exact"/>
        <w:ind w:firstLine="480" w:firstLineChars="200"/>
        <w:jc w:val="left"/>
        <w:outlineLvl w:val="1"/>
        <w:rPr>
          <w:rFonts w:hint="eastAsia" w:ascii="宋体" w:hAnsi="宋体"/>
          <w:sz w:val="24"/>
        </w:rPr>
      </w:pPr>
      <w:bookmarkStart w:id="13" w:name="_Toc392679544"/>
      <w:r>
        <w:rPr>
          <w:rFonts w:hint="eastAsia" w:ascii="宋体" w:hAnsi="宋体"/>
          <w:sz w:val="24"/>
        </w:rPr>
        <w:t>在本项目系统建设工程全部完成并具备试运行条件后进行验收，由中标人向采购人提出验收申请，采购人根据合同约定和国家的相关标准对项目进行验收，并提出整改意见，如果无整改意见或中标方按整改意见完成整改后双方签署《验收合格报告》。</w:t>
      </w:r>
    </w:p>
    <w:p>
      <w:pPr>
        <w:widowControl/>
        <w:spacing w:line="400" w:lineRule="exact"/>
        <w:jc w:val="left"/>
        <w:outlineLvl w:val="1"/>
        <w:rPr>
          <w:rFonts w:hint="eastAsia" w:ascii="宋体" w:hAnsi="宋体"/>
          <w:b/>
          <w:bCs/>
          <w:kern w:val="44"/>
          <w:sz w:val="24"/>
        </w:rPr>
      </w:pPr>
      <w:r>
        <w:rPr>
          <w:rFonts w:hint="eastAsia" w:ascii="宋体" w:hAnsi="宋体"/>
          <w:b/>
          <w:bCs/>
          <w:kern w:val="44"/>
          <w:sz w:val="24"/>
          <w:lang w:eastAsia="zh-CN"/>
        </w:rPr>
        <w:t>四</w:t>
      </w:r>
      <w:r>
        <w:rPr>
          <w:rFonts w:hint="eastAsia" w:ascii="宋体" w:hAnsi="宋体"/>
          <w:b/>
          <w:bCs/>
          <w:kern w:val="44"/>
          <w:sz w:val="24"/>
        </w:rPr>
        <w:t>、保修期及售后服务</w:t>
      </w:r>
      <w:bookmarkEnd w:id="13"/>
    </w:p>
    <w:p>
      <w:pPr>
        <w:widowControl/>
        <w:spacing w:line="400" w:lineRule="exact"/>
        <w:ind w:firstLine="588" w:firstLineChars="245"/>
        <w:jc w:val="left"/>
        <w:rPr>
          <w:rFonts w:hint="eastAsia" w:ascii="宋体" w:hAnsi="宋体"/>
          <w:sz w:val="24"/>
        </w:rPr>
      </w:pPr>
      <w:r>
        <w:rPr>
          <w:rFonts w:hint="eastAsia" w:ascii="宋体" w:hAnsi="宋体"/>
          <w:sz w:val="24"/>
        </w:rPr>
        <w:t>投标人必须为本系统提供完整的售后服务方案作为投标文件的组成部分，应体现定期进行检查、调校、清洁等维护措施，按照本采购项目特点提供长期良好的售后服务。</w:t>
      </w:r>
    </w:p>
    <w:p>
      <w:pPr>
        <w:widowControl/>
        <w:spacing w:line="400" w:lineRule="exact"/>
        <w:ind w:firstLine="480" w:firstLineChars="200"/>
        <w:jc w:val="left"/>
        <w:rPr>
          <w:rFonts w:hint="eastAsia" w:ascii="宋体" w:hAnsi="宋体"/>
          <w:sz w:val="24"/>
        </w:rPr>
      </w:pPr>
      <w:r>
        <w:rPr>
          <w:rFonts w:hint="eastAsia" w:ascii="宋体" w:hAnsi="宋体"/>
          <w:sz w:val="24"/>
          <w:lang w:val="en-US" w:eastAsia="zh-CN"/>
        </w:rPr>
        <w:t>1</w:t>
      </w:r>
      <w:r>
        <w:rPr>
          <w:rFonts w:hint="eastAsia" w:ascii="宋体" w:hAnsi="宋体"/>
          <w:sz w:val="24"/>
        </w:rPr>
        <w:t>、在保修期内由于产品本身质量或施工质量原因造成的任何损伤和损坏，投标人须免费负责修理或更换；</w:t>
      </w:r>
    </w:p>
    <w:p>
      <w:pPr>
        <w:spacing w:line="40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中标人应提供定期巡检服务，针对系统和前端摄像机制定详细的巡检方案，巡检内容应包括：前端设备运行情况、监控平台设备和功能情况、专网运行情况以及前端杆件和管线情况等，每次巡检均应提供巡检报告；</w:t>
      </w:r>
    </w:p>
    <w:p>
      <w:pPr>
        <w:widowControl/>
        <w:spacing w:line="400" w:lineRule="exact"/>
        <w:ind w:firstLine="360" w:firstLineChars="150"/>
        <w:jc w:val="left"/>
        <w:rPr>
          <w:rFonts w:hint="eastAsia" w:ascii="宋体" w:hAnsi="宋体"/>
          <w:sz w:val="24"/>
        </w:rPr>
      </w:pPr>
      <w:r>
        <w:rPr>
          <w:rFonts w:hint="eastAsia" w:ascii="宋体" w:hAnsi="宋体"/>
          <w:sz w:val="24"/>
          <w:lang w:val="en-US" w:eastAsia="zh-CN"/>
        </w:rPr>
        <w:t>3</w:t>
      </w:r>
      <w:r>
        <w:rPr>
          <w:rFonts w:hint="eastAsia" w:ascii="宋体" w:hAnsi="宋体"/>
          <w:sz w:val="24"/>
        </w:rPr>
        <w:t>、中标人应设立7*24小时热线服务电话，受理采购人系统故障申告、技术咨询。中标人在收到采购人系统故障申告后，必须按要求及时解决。1小时内响应，2小时内到现场，4小时内解决故障。对于设备损坏，不能当场修复的，必须提供备品、备件或备机等供采购人使用</w:t>
      </w:r>
      <w:r>
        <w:rPr>
          <w:rFonts w:hint="eastAsia" w:ascii="宋体" w:hAnsi="宋体"/>
          <w:sz w:val="24"/>
          <w:lang w:eastAsia="zh-CN"/>
        </w:rPr>
        <w:t>；</w:t>
      </w:r>
      <w:r>
        <w:rPr>
          <w:rFonts w:hint="eastAsia" w:ascii="宋体" w:hAnsi="宋体"/>
          <w:sz w:val="24"/>
          <w:lang w:val="en-US" w:eastAsia="zh-CN"/>
        </w:rPr>
        <w:t xml:space="preserve"> </w:t>
      </w:r>
    </w:p>
    <w:p>
      <w:pPr>
        <w:widowControl/>
        <w:spacing w:line="400" w:lineRule="exact"/>
        <w:jc w:val="left"/>
        <w:outlineLvl w:val="1"/>
        <w:rPr>
          <w:rFonts w:hint="eastAsia" w:ascii="宋体" w:hAnsi="宋体"/>
          <w:b/>
          <w:bCs/>
          <w:kern w:val="44"/>
          <w:sz w:val="24"/>
        </w:rPr>
      </w:pPr>
      <w:bookmarkStart w:id="14" w:name="_Toc392679548"/>
      <w:r>
        <w:rPr>
          <w:rFonts w:hint="eastAsia" w:ascii="宋体" w:hAnsi="宋体"/>
          <w:b/>
          <w:bCs/>
          <w:kern w:val="44"/>
          <w:sz w:val="24"/>
          <w:lang w:eastAsia="zh-CN"/>
        </w:rPr>
        <w:t>五</w:t>
      </w:r>
      <w:r>
        <w:rPr>
          <w:rFonts w:hint="eastAsia" w:ascii="宋体" w:hAnsi="宋体"/>
          <w:b/>
          <w:bCs/>
          <w:kern w:val="44"/>
          <w:sz w:val="24"/>
        </w:rPr>
        <w:t>、交货方式</w:t>
      </w:r>
      <w:bookmarkEnd w:id="14"/>
    </w:p>
    <w:p>
      <w:pPr>
        <w:widowControl/>
        <w:spacing w:line="400" w:lineRule="exact"/>
        <w:ind w:firstLine="480" w:firstLineChars="200"/>
        <w:jc w:val="left"/>
        <w:rPr>
          <w:rFonts w:hint="eastAsia" w:ascii="宋体" w:hAnsi="宋体"/>
          <w:sz w:val="24"/>
        </w:rPr>
      </w:pPr>
      <w:r>
        <w:rPr>
          <w:rFonts w:hint="eastAsia" w:ascii="宋体" w:hAnsi="宋体"/>
          <w:sz w:val="24"/>
        </w:rPr>
        <w:t>1、项目完成并交付使用时间：合同签订后的</w:t>
      </w:r>
      <w:r>
        <w:rPr>
          <w:rFonts w:hint="eastAsia" w:ascii="宋体" w:hAnsi="宋体"/>
          <w:sz w:val="24"/>
          <w:lang w:val="en-US" w:eastAsia="zh-CN"/>
        </w:rPr>
        <w:t>20个</w:t>
      </w:r>
      <w:r>
        <w:rPr>
          <w:rFonts w:hint="eastAsia" w:ascii="宋体" w:hAnsi="宋体"/>
          <w:sz w:val="24"/>
        </w:rPr>
        <w:t>日历日内</w:t>
      </w:r>
    </w:p>
    <w:p>
      <w:pPr>
        <w:widowControl/>
        <w:spacing w:line="400" w:lineRule="exact"/>
        <w:ind w:firstLine="480" w:firstLineChars="200"/>
        <w:jc w:val="left"/>
        <w:rPr>
          <w:rFonts w:hint="eastAsia" w:ascii="宋体" w:hAnsi="宋体"/>
          <w:sz w:val="24"/>
        </w:rPr>
      </w:pPr>
      <w:r>
        <w:rPr>
          <w:rFonts w:hint="eastAsia" w:ascii="宋体" w:hAnsi="宋体"/>
          <w:sz w:val="24"/>
        </w:rPr>
        <w:t>2、验收地点：采购人指定地点</w:t>
      </w:r>
    </w:p>
    <w:p>
      <w:pPr>
        <w:widowControl/>
        <w:spacing w:line="400" w:lineRule="exact"/>
        <w:ind w:firstLine="480" w:firstLineChars="200"/>
        <w:jc w:val="left"/>
        <w:rPr>
          <w:rFonts w:hint="eastAsia" w:ascii="宋体" w:hAnsi="宋体"/>
          <w:sz w:val="24"/>
        </w:rPr>
      </w:pPr>
      <w:r>
        <w:rPr>
          <w:rFonts w:hint="eastAsia" w:ascii="宋体" w:hAnsi="宋体"/>
          <w:sz w:val="24"/>
        </w:rPr>
        <w:t>3、项目验收：产品安装调试结束并经正常使用</w:t>
      </w:r>
      <w:r>
        <w:rPr>
          <w:rFonts w:hint="eastAsia" w:ascii="宋体" w:hAnsi="宋体"/>
          <w:sz w:val="24"/>
          <w:lang w:val="en-US" w:eastAsia="zh-CN"/>
        </w:rPr>
        <w:t>10个日历日后</w:t>
      </w:r>
      <w:r>
        <w:rPr>
          <w:rFonts w:hint="eastAsia" w:ascii="宋体" w:hAnsi="宋体"/>
          <w:sz w:val="24"/>
        </w:rPr>
        <w:t>，</w:t>
      </w:r>
      <w:r>
        <w:rPr>
          <w:rFonts w:hint="eastAsia" w:ascii="宋体" w:hAnsi="宋体"/>
          <w:sz w:val="24"/>
          <w:lang w:eastAsia="zh-CN"/>
        </w:rPr>
        <w:t>联入视频网且不卡顿</w:t>
      </w:r>
      <w:r>
        <w:rPr>
          <w:rFonts w:hint="eastAsia" w:ascii="宋体" w:hAnsi="宋体"/>
          <w:sz w:val="24"/>
        </w:rPr>
        <w:t>即为完成验收。</w:t>
      </w:r>
    </w:p>
    <w:p>
      <w:pPr>
        <w:widowControl/>
        <w:spacing w:line="400" w:lineRule="exact"/>
        <w:ind w:firstLine="480" w:firstLineChars="200"/>
        <w:jc w:val="left"/>
        <w:rPr>
          <w:rFonts w:hint="eastAsia" w:ascii="宋体" w:hAnsi="宋体"/>
          <w:sz w:val="24"/>
        </w:rPr>
      </w:pPr>
      <w:r>
        <w:rPr>
          <w:rFonts w:hint="eastAsia" w:ascii="宋体" w:hAnsi="宋体"/>
          <w:sz w:val="24"/>
        </w:rPr>
        <w:t>4、验收前所有各项费用均由中标方承担。</w:t>
      </w:r>
    </w:p>
    <w:p>
      <w:pPr>
        <w:widowControl/>
        <w:spacing w:line="400" w:lineRule="exact"/>
        <w:ind w:firstLine="480" w:firstLineChars="200"/>
        <w:jc w:val="left"/>
        <w:rPr>
          <w:rFonts w:hint="eastAsia" w:ascii="宋体" w:hAnsi="宋体"/>
          <w:sz w:val="24"/>
        </w:rPr>
      </w:pPr>
      <w:r>
        <w:rPr>
          <w:rFonts w:hint="eastAsia" w:ascii="宋体" w:hAnsi="宋体"/>
          <w:sz w:val="24"/>
          <w:lang w:val="en-US" w:eastAsia="zh-CN"/>
        </w:rPr>
        <w:t>5</w:t>
      </w:r>
      <w:r>
        <w:rPr>
          <w:rFonts w:hint="eastAsia" w:ascii="宋体" w:hAnsi="宋体"/>
          <w:sz w:val="24"/>
        </w:rPr>
        <w:t>、货物及安装要求</w:t>
      </w:r>
    </w:p>
    <w:p>
      <w:pPr>
        <w:widowControl/>
        <w:spacing w:line="400" w:lineRule="exact"/>
        <w:ind w:firstLine="480" w:firstLineChars="200"/>
        <w:jc w:val="left"/>
        <w:rPr>
          <w:rFonts w:hint="eastAsia" w:ascii="宋体" w:hAnsi="宋体"/>
          <w:sz w:val="24"/>
        </w:rPr>
      </w:pPr>
      <w:r>
        <w:rPr>
          <w:rFonts w:hint="eastAsia" w:ascii="宋体" w:hAnsi="宋体"/>
          <w:sz w:val="24"/>
        </w:rPr>
        <w:t>由中标供应商负责派专业技术人员到现场进行</w:t>
      </w:r>
      <w:r>
        <w:rPr>
          <w:rFonts w:hint="eastAsia" w:ascii="宋体" w:hAnsi="宋体"/>
          <w:sz w:val="24"/>
          <w:lang w:eastAsia="zh-CN"/>
        </w:rPr>
        <w:t>供货、</w:t>
      </w:r>
      <w:r>
        <w:rPr>
          <w:rFonts w:hint="eastAsia" w:ascii="宋体" w:hAnsi="宋体"/>
          <w:sz w:val="24"/>
        </w:rPr>
        <w:t>安装、调试，并负责调试至验收合格，由采购方进行基本质量和数量检验合格即为现场交货。 </w:t>
      </w:r>
    </w:p>
    <w:p>
      <w:pPr>
        <w:widowControl/>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6、售后服务：保修期为三年，质保期需供需双方代表在验收单上签字之日起计算</w:t>
      </w:r>
    </w:p>
    <w:p>
      <w:pPr>
        <w:spacing w:line="400" w:lineRule="exact"/>
        <w:outlineLvl w:val="1"/>
        <w:rPr>
          <w:rFonts w:hint="eastAsia" w:eastAsia="宋体"/>
          <w:lang w:val="en-US" w:eastAsia="zh-CN"/>
        </w:rPr>
      </w:pPr>
    </w:p>
    <w:p>
      <w:pPr>
        <w:widowControl/>
        <w:spacing w:line="400" w:lineRule="exact"/>
        <w:ind w:firstLine="480" w:firstLineChars="200"/>
        <w:jc w:val="left"/>
        <w:rPr>
          <w:rFonts w:hint="eastAsia" w:ascii="宋体" w:hAnsi="宋体"/>
          <w:sz w:val="24"/>
        </w:rPr>
      </w:pPr>
    </w:p>
    <w:p>
      <w:pPr>
        <w:widowControl/>
        <w:spacing w:line="400" w:lineRule="exact"/>
        <w:jc w:val="left"/>
        <w:outlineLvl w:val="1"/>
        <w:rPr>
          <w:rFonts w:hint="eastAsia" w:ascii="宋体" w:hAnsi="宋体"/>
          <w:b/>
          <w:bCs/>
          <w:kern w:val="44"/>
          <w:sz w:val="24"/>
        </w:rPr>
      </w:pPr>
      <w:bookmarkStart w:id="15" w:name="_Toc392679549"/>
      <w:r>
        <w:rPr>
          <w:rFonts w:hint="eastAsia" w:ascii="宋体" w:hAnsi="宋体"/>
          <w:b/>
          <w:bCs/>
          <w:kern w:val="44"/>
          <w:sz w:val="24"/>
          <w:lang w:eastAsia="zh-CN"/>
        </w:rPr>
        <w:t>六</w:t>
      </w:r>
      <w:r>
        <w:rPr>
          <w:rFonts w:hint="eastAsia" w:ascii="宋体" w:hAnsi="宋体"/>
          <w:b/>
          <w:bCs/>
          <w:kern w:val="44"/>
          <w:sz w:val="24"/>
        </w:rPr>
        <w:t>、付款方式和条件</w:t>
      </w:r>
      <w:bookmarkEnd w:id="15"/>
    </w:p>
    <w:p>
      <w:pPr>
        <w:widowControl/>
        <w:spacing w:line="400" w:lineRule="exact"/>
        <w:ind w:firstLine="480" w:firstLineChars="200"/>
        <w:jc w:val="left"/>
        <w:rPr>
          <w:rFonts w:hint="eastAsia" w:ascii="宋体" w:hAnsi="宋体" w:eastAsia="宋体" w:cs="宋体"/>
          <w:bCs/>
          <w:kern w:val="0"/>
          <w:sz w:val="24"/>
          <w:szCs w:val="24"/>
          <w:lang w:val="en-US" w:eastAsia="zh-CN"/>
        </w:rPr>
      </w:pPr>
      <w:r>
        <w:rPr>
          <w:rFonts w:hint="eastAsia" w:ascii="宋体" w:hAnsi="宋体"/>
          <w:sz w:val="24"/>
        </w:rPr>
        <w:t>1、</w:t>
      </w:r>
      <w:r>
        <w:rPr>
          <w:rFonts w:hint="eastAsia" w:ascii="宋体" w:hAnsi="宋体" w:eastAsia="宋体" w:cs="宋体"/>
          <w:kern w:val="0"/>
          <w:sz w:val="24"/>
          <w:szCs w:val="24"/>
          <w:lang w:val="en-US" w:eastAsia="zh-CN"/>
        </w:rPr>
        <w:t xml:space="preserve"> </w:t>
      </w:r>
      <w:r>
        <w:rPr>
          <w:rFonts w:hint="eastAsia" w:ascii="宋体" w:hAnsi="宋体" w:eastAsia="宋体" w:cs="宋体"/>
          <w:bCs/>
          <w:kern w:val="0"/>
          <w:sz w:val="24"/>
          <w:szCs w:val="24"/>
          <w:lang w:val="en-US" w:eastAsia="zh-CN"/>
        </w:rPr>
        <w:t>合同签订后支付合同总价的50%，验收合格后支付合同总价的45%，</w:t>
      </w:r>
      <w:r>
        <w:rPr>
          <w:rFonts w:ascii="宋体" w:hAnsi="宋体" w:eastAsia="宋体" w:cs="宋体"/>
          <w:kern w:val="0"/>
          <w:sz w:val="24"/>
          <w:szCs w:val="24"/>
          <w:lang w:val="en-US" w:eastAsia="zh-CN" w:bidi="ar"/>
        </w:rPr>
        <w:t>余5%款项做为质保金，</w:t>
      </w:r>
      <w:r>
        <w:rPr>
          <w:rFonts w:hint="eastAsia" w:ascii="宋体" w:hAnsi="宋体" w:eastAsia="宋体" w:cs="宋体"/>
          <w:kern w:val="0"/>
          <w:sz w:val="24"/>
          <w:szCs w:val="24"/>
          <w:lang w:val="en-US" w:eastAsia="zh-CN" w:bidi="ar"/>
        </w:rPr>
        <w:t>三</w:t>
      </w:r>
      <w:r>
        <w:rPr>
          <w:rFonts w:ascii="宋体" w:hAnsi="宋体" w:eastAsia="宋体" w:cs="宋体"/>
          <w:kern w:val="0"/>
          <w:sz w:val="24"/>
          <w:szCs w:val="24"/>
          <w:lang w:val="en-US" w:eastAsia="zh-CN" w:bidi="ar"/>
        </w:rPr>
        <w:t>年后完成合同约定所有内容，无质量与售后问题，七个工作日付清</w:t>
      </w:r>
      <w:r>
        <w:rPr>
          <w:rFonts w:hint="eastAsia" w:ascii="宋体" w:hAnsi="宋体" w:eastAsia="宋体" w:cs="宋体"/>
          <w:bCs/>
          <w:kern w:val="0"/>
          <w:sz w:val="24"/>
          <w:szCs w:val="24"/>
          <w:lang w:val="en-US" w:eastAsia="zh-CN"/>
        </w:rPr>
        <w:t>。</w:t>
      </w:r>
    </w:p>
    <w:p>
      <w:pPr>
        <w:widowControl/>
        <w:spacing w:line="400" w:lineRule="exact"/>
        <w:ind w:firstLine="480" w:firstLineChars="200"/>
        <w:jc w:val="left"/>
        <w:rPr>
          <w:rFonts w:hint="eastAsia" w:ascii="宋体" w:hAnsi="宋体"/>
          <w:sz w:val="24"/>
        </w:rPr>
      </w:pPr>
      <w:r>
        <w:rPr>
          <w:rFonts w:hint="eastAsia" w:ascii="宋体" w:hAnsi="宋体"/>
          <w:sz w:val="24"/>
        </w:rPr>
        <w:t>2、付款前中标人开具合同</w:t>
      </w:r>
      <w:r>
        <w:rPr>
          <w:rFonts w:hint="eastAsia" w:ascii="宋体" w:hAnsi="宋体"/>
          <w:sz w:val="24"/>
          <w:lang w:eastAsia="zh-CN"/>
        </w:rPr>
        <w:t>全</w:t>
      </w:r>
      <w:r>
        <w:rPr>
          <w:rFonts w:hint="eastAsia" w:ascii="宋体" w:hAnsi="宋体"/>
          <w:sz w:val="24"/>
        </w:rPr>
        <w:t>额</w:t>
      </w:r>
      <w:r>
        <w:rPr>
          <w:rFonts w:hint="eastAsia" w:ascii="宋体" w:hAnsi="宋体" w:eastAsia="宋体"/>
          <w:sz w:val="24"/>
          <w:lang w:eastAsia="zh-CN"/>
        </w:rPr>
        <w:t>增值税专用</w:t>
      </w:r>
      <w:r>
        <w:rPr>
          <w:rFonts w:hint="eastAsia" w:ascii="宋体" w:hAnsi="宋体"/>
          <w:sz w:val="24"/>
        </w:rPr>
        <w:t>发票；项目验收时中标方需准备验收清单</w:t>
      </w:r>
      <w:r>
        <w:rPr>
          <w:rFonts w:hint="eastAsia" w:ascii="宋体" w:hAnsi="宋体"/>
          <w:sz w:val="24"/>
          <w:lang w:eastAsia="zh-CN"/>
        </w:rPr>
        <w:t>文本</w:t>
      </w:r>
      <w:r>
        <w:rPr>
          <w:rFonts w:hint="eastAsia" w:ascii="宋体" w:hAnsi="宋体"/>
          <w:sz w:val="24"/>
        </w:rPr>
        <w:t>。</w:t>
      </w:r>
    </w:p>
    <w:p>
      <w:pPr>
        <w:tabs>
          <w:tab w:val="left" w:pos="1050"/>
        </w:tabs>
        <w:spacing w:line="400" w:lineRule="exact"/>
        <w:ind w:firstLine="480" w:firstLineChars="200"/>
        <w:rPr>
          <w:rFonts w:hint="eastAsia" w:ascii="宋体" w:hAnsi="宋体"/>
          <w:sz w:val="24"/>
        </w:rPr>
      </w:pPr>
      <w:r>
        <w:rPr>
          <w:rFonts w:hint="eastAsia" w:ascii="宋体" w:hAnsi="宋体"/>
          <w:sz w:val="24"/>
        </w:rPr>
        <w:t>3、违约：中标供货方在规定时间内不能按时将货物交付采购人使用，每天按合同总额的</w:t>
      </w:r>
      <w:r>
        <w:rPr>
          <w:rFonts w:hint="eastAsia" w:ascii="宋体" w:hAnsi="宋体"/>
          <w:sz w:val="24"/>
          <w:lang w:val="en-US" w:eastAsia="zh-CN"/>
        </w:rPr>
        <w:t>0.5%</w:t>
      </w:r>
      <w:r>
        <w:rPr>
          <w:rFonts w:hint="eastAsia" w:ascii="宋体" w:hAnsi="宋体"/>
          <w:sz w:val="24"/>
        </w:rPr>
        <w:t>支付给采购人逾期违约金；延期超过</w:t>
      </w:r>
      <w:r>
        <w:rPr>
          <w:rFonts w:hint="eastAsia" w:ascii="宋体" w:hAnsi="宋体"/>
          <w:sz w:val="24"/>
          <w:lang w:val="en-US" w:eastAsia="zh-CN"/>
        </w:rPr>
        <w:t>10</w:t>
      </w:r>
      <w:r>
        <w:rPr>
          <w:rFonts w:hint="eastAsia" w:ascii="宋体" w:hAnsi="宋体"/>
          <w:sz w:val="24"/>
        </w:rPr>
        <w:t>天，每天按合同总额的</w:t>
      </w:r>
      <w:r>
        <w:rPr>
          <w:rFonts w:hint="eastAsia" w:ascii="宋体" w:hAnsi="宋体"/>
          <w:sz w:val="24"/>
          <w:lang w:val="en-US" w:eastAsia="zh-CN"/>
        </w:rPr>
        <w:t>1</w:t>
      </w:r>
      <w:r>
        <w:rPr>
          <w:rFonts w:hint="default" w:ascii="Arial" w:hAnsi="Arial" w:cs="Arial"/>
          <w:sz w:val="24"/>
        </w:rPr>
        <w:t>‰</w:t>
      </w:r>
      <w:r>
        <w:rPr>
          <w:rFonts w:hint="eastAsia" w:ascii="宋体" w:hAnsi="宋体"/>
          <w:sz w:val="24"/>
        </w:rPr>
        <w:t>支付给采购人逾期违约金；超过</w:t>
      </w:r>
      <w:r>
        <w:rPr>
          <w:rFonts w:hint="eastAsia" w:ascii="宋体" w:hAnsi="宋体"/>
          <w:sz w:val="24"/>
          <w:lang w:val="en-US" w:eastAsia="zh-CN"/>
        </w:rPr>
        <w:t>20</w:t>
      </w:r>
      <w:r>
        <w:rPr>
          <w:rFonts w:hint="eastAsia" w:ascii="宋体" w:hAnsi="宋体"/>
          <w:sz w:val="24"/>
        </w:rPr>
        <w:t>天，每天按合同的</w:t>
      </w:r>
      <w:r>
        <w:rPr>
          <w:rFonts w:hint="eastAsia" w:ascii="宋体" w:hAnsi="宋体"/>
          <w:sz w:val="24"/>
          <w:lang w:val="en-US" w:eastAsia="zh-CN"/>
        </w:rPr>
        <w:t>20</w:t>
      </w:r>
      <w:r>
        <w:rPr>
          <w:rFonts w:hint="default" w:ascii="Arial" w:hAnsi="Arial" w:cs="Arial"/>
          <w:sz w:val="24"/>
        </w:rPr>
        <w:t>‰</w:t>
      </w:r>
      <w:r>
        <w:rPr>
          <w:rFonts w:hint="eastAsia" w:ascii="宋体" w:hAnsi="宋体"/>
          <w:sz w:val="24"/>
        </w:rPr>
        <w:t>付给采购人逾期违约金；超过30天，采购人有权单方解除合同，并追究中标人违约责任。</w:t>
      </w:r>
    </w:p>
    <w:p>
      <w:pPr>
        <w:widowControl/>
        <w:spacing w:line="400" w:lineRule="exact"/>
        <w:jc w:val="left"/>
        <w:outlineLvl w:val="1"/>
        <w:rPr>
          <w:rFonts w:hint="eastAsia" w:ascii="宋体" w:hAnsi="宋体"/>
          <w:b/>
          <w:bCs/>
          <w:kern w:val="44"/>
          <w:sz w:val="24"/>
        </w:rPr>
      </w:pPr>
      <w:r>
        <w:rPr>
          <w:rFonts w:hint="eastAsia" w:ascii="宋体" w:hAnsi="宋体"/>
          <w:b/>
          <w:bCs/>
          <w:kern w:val="44"/>
          <w:sz w:val="24"/>
          <w:lang w:eastAsia="zh-CN"/>
        </w:rPr>
        <w:t>七</w:t>
      </w:r>
      <w:r>
        <w:rPr>
          <w:rFonts w:hint="eastAsia" w:ascii="宋体" w:hAnsi="宋体"/>
          <w:b/>
          <w:bCs/>
          <w:kern w:val="44"/>
          <w:sz w:val="24"/>
        </w:rPr>
        <w:t>、特别说明：</w:t>
      </w:r>
    </w:p>
    <w:p>
      <w:pPr>
        <w:spacing w:line="400" w:lineRule="exact"/>
        <w:ind w:firstLine="480" w:firstLineChars="200"/>
        <w:rPr>
          <w:rFonts w:hint="eastAsia" w:ascii="宋体" w:hAnsi="宋体"/>
          <w:b/>
          <w:sz w:val="24"/>
        </w:rPr>
      </w:pPr>
      <w:r>
        <w:rPr>
          <w:rFonts w:hint="eastAsia" w:ascii="宋体" w:hAnsi="宋体"/>
          <w:b/>
          <w:sz w:val="24"/>
        </w:rPr>
        <w:t>1.本技术规格只是对系统原则性的要求，并非详尽的要求，投标人有责任对提供的产品符合技术规范负责，并有责任提出在本技术规格中未阐述的但为保证今后能一次性通过验收及保证正常使用所必须的建议和要求，并落实在投标文件报价之中。</w:t>
      </w:r>
    </w:p>
    <w:p>
      <w:pPr>
        <w:spacing w:line="400" w:lineRule="exact"/>
        <w:outlineLvl w:val="1"/>
        <w:rPr>
          <w:rFonts w:hint="eastAsia" w:eastAsia="宋体"/>
          <w:lang w:val="en-US" w:eastAsia="zh-CN"/>
        </w:rPr>
      </w:pPr>
      <w:bookmarkStart w:id="25" w:name="_GoBack"/>
      <w:bookmarkEnd w:id="25"/>
    </w:p>
    <w:p>
      <w:pPr>
        <w:widowControl/>
        <w:shd w:val="clear" w:color="auto" w:fill="FFFFFF"/>
        <w:spacing w:line="360" w:lineRule="auto"/>
        <w:jc w:val="left"/>
      </w:pPr>
      <w:r>
        <w:br w:type="page"/>
      </w:r>
    </w:p>
    <w:p>
      <w:pPr>
        <w:pStyle w:val="2"/>
      </w:pPr>
      <w:bookmarkStart w:id="16" w:name="_Toc12868"/>
      <w:r>
        <w:t>第</w:t>
      </w:r>
      <w:r>
        <w:rPr>
          <w:rFonts w:hint="eastAsia"/>
        </w:rPr>
        <w:t>四</w:t>
      </w:r>
      <w:r>
        <w:t>章</w:t>
      </w:r>
      <w:r>
        <w:rPr>
          <w:rFonts w:hint="eastAsia"/>
        </w:rPr>
        <w:t xml:space="preserve"> </w:t>
      </w:r>
      <w:r>
        <w:t>响应文件格式</w:t>
      </w:r>
      <w:bookmarkEnd w:id="1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7" w:name="_Toc21368"/>
      <w:r>
        <w:rPr>
          <w:rFonts w:hint="eastAsia"/>
        </w:rPr>
        <w:t>1</w:t>
      </w:r>
      <w:r>
        <w:t>、报价一览表</w:t>
      </w:r>
      <w:bookmarkEnd w:id="1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8" w:name="_Toc32753"/>
      <w:r>
        <w:rPr>
          <w:rFonts w:hint="eastAsia"/>
        </w:rPr>
        <w:t>2</w:t>
      </w:r>
      <w:r>
        <w:t>、分项报价表</w:t>
      </w:r>
      <w:bookmarkEnd w:id="1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9" w:name="_Toc19447"/>
      <w:r>
        <w:rPr>
          <w:rFonts w:hint="eastAsia"/>
        </w:rPr>
        <w:t>3、资格证明文件</w:t>
      </w:r>
      <w:bookmarkEnd w:id="19"/>
    </w:p>
    <w:p>
      <w:pPr>
        <w:pStyle w:val="4"/>
      </w:pPr>
      <w:bookmarkStart w:id="20" w:name="_Toc11904"/>
      <w:r>
        <w:rPr>
          <w:rFonts w:hint="eastAsia"/>
        </w:rPr>
        <w:t>3</w:t>
      </w:r>
      <w:r>
        <w:t>-1单位负责人授权书（若有）</w:t>
      </w:r>
      <w:bookmarkEnd w:id="2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21" w:name="_Toc16968"/>
      <w:r>
        <w:rPr>
          <w:rFonts w:hint="eastAsia"/>
        </w:rPr>
        <w:t>3</w:t>
      </w:r>
      <w:r>
        <w:t>-2营业执照等证明文件</w:t>
      </w:r>
      <w:bookmarkEnd w:id="2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22" w:name="_Toc26424"/>
      <w:r>
        <w:rPr>
          <w:rFonts w:hint="eastAsia"/>
        </w:rPr>
        <w:t>4</w:t>
      </w:r>
      <w:r>
        <w:t>、技术要求响应表</w:t>
      </w:r>
      <w:bookmarkEnd w:id="2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23" w:name="_Toc24633"/>
      <w:r>
        <w:rPr>
          <w:rFonts w:hint="eastAsia"/>
        </w:rPr>
        <w:t>5</w:t>
      </w:r>
      <w:r>
        <w:t>、商务条件响应表</w:t>
      </w:r>
      <w:bookmarkEnd w:id="2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24" w:name="_Toc25524"/>
      <w:r>
        <w:rPr>
          <w:rFonts w:hint="eastAsia"/>
        </w:rPr>
        <w:t>6</w:t>
      </w:r>
      <w:r>
        <w:t>、</w:t>
      </w:r>
      <w:r>
        <w:rPr>
          <w:rFonts w:hint="eastAsia"/>
        </w:rPr>
        <w:t>售后服务承诺函</w:t>
      </w:r>
      <w:bookmarkEnd w:id="2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Symbol">
    <w:altName w:val="Symbol"/>
    <w:panose1 w:val="020B0502040204020203"/>
    <w:charset w:val="00"/>
    <w:family w:val="swiss"/>
    <w:pitch w:val="default"/>
    <w:sig w:usb0="00000000" w:usb1="00000000" w:usb2="0004C000" w:usb3="00000000" w:csb0="00000001"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等线 Light">
    <w:altName w:val="Courier New"/>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C9DD9"/>
    <w:multiLevelType w:val="singleLevel"/>
    <w:tmpl w:val="A36C9DD9"/>
    <w:lvl w:ilvl="0" w:tentative="0">
      <w:start w:val="2"/>
      <w:numFmt w:val="chineseCounting"/>
      <w:suff w:val="nothing"/>
      <w:lvlText w:val="%1、"/>
      <w:lvlJc w:val="left"/>
      <w:rPr>
        <w:rFonts w:hint="eastAsia"/>
      </w:rPr>
    </w:lvl>
  </w:abstractNum>
  <w:abstractNum w:abstractNumId="1">
    <w:nsid w:val="C5F1B494"/>
    <w:multiLevelType w:val="singleLevel"/>
    <w:tmpl w:val="C5F1B494"/>
    <w:lvl w:ilvl="0" w:tentative="0">
      <w:start w:val="1"/>
      <w:numFmt w:val="chineseCounting"/>
      <w:suff w:val="nothing"/>
      <w:lvlText w:val="%1、"/>
      <w:lvlJc w:val="left"/>
      <w:rPr>
        <w:rFonts w:hint="eastAsia"/>
      </w:rPr>
    </w:lvl>
  </w:abstractNum>
  <w:abstractNum w:abstractNumId="2">
    <w:nsid w:val="5A094BD0"/>
    <w:multiLevelType w:val="singleLevel"/>
    <w:tmpl w:val="5A094BD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67CA"/>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CBA46CE"/>
    <w:rsid w:val="0DDE514A"/>
    <w:rsid w:val="0E1D2F35"/>
    <w:rsid w:val="13E94009"/>
    <w:rsid w:val="195B7226"/>
    <w:rsid w:val="1C9661C2"/>
    <w:rsid w:val="2003214F"/>
    <w:rsid w:val="20903B57"/>
    <w:rsid w:val="224123EA"/>
    <w:rsid w:val="27EF30AF"/>
    <w:rsid w:val="281F6275"/>
    <w:rsid w:val="2A776C51"/>
    <w:rsid w:val="2A8F3ACE"/>
    <w:rsid w:val="2C640104"/>
    <w:rsid w:val="2F166109"/>
    <w:rsid w:val="30D22F66"/>
    <w:rsid w:val="32692307"/>
    <w:rsid w:val="38435B0E"/>
    <w:rsid w:val="38641FE2"/>
    <w:rsid w:val="3ADB7028"/>
    <w:rsid w:val="408E7458"/>
    <w:rsid w:val="456E3B2A"/>
    <w:rsid w:val="48402E9E"/>
    <w:rsid w:val="4A210D79"/>
    <w:rsid w:val="4E705210"/>
    <w:rsid w:val="4F8945F8"/>
    <w:rsid w:val="528C770B"/>
    <w:rsid w:val="53637492"/>
    <w:rsid w:val="54CE2685"/>
    <w:rsid w:val="56A73B4F"/>
    <w:rsid w:val="5D3F0E19"/>
    <w:rsid w:val="62E65DE6"/>
    <w:rsid w:val="654827AB"/>
    <w:rsid w:val="660F705E"/>
    <w:rsid w:val="67B1191C"/>
    <w:rsid w:val="68094B24"/>
    <w:rsid w:val="6C692F56"/>
    <w:rsid w:val="70A131A5"/>
    <w:rsid w:val="7279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0</TotalTime>
  <ScaleCrop>false</ScaleCrop>
  <LinksUpToDate>false</LinksUpToDate>
  <CharactersWithSpaces>14987</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DB哥</cp:lastModifiedBy>
  <dcterms:modified xsi:type="dcterms:W3CDTF">2019-12-09T02:02:39Z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