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hint="eastAsia" w:ascii="宋体" w:hAnsi="宋体" w:eastAsia="宋体" w:cs="宋体"/>
          <w:kern w:val="0"/>
          <w:sz w:val="36"/>
          <w:szCs w:val="24"/>
          <w:lang w:eastAsia="zh-CN"/>
        </w:rPr>
      </w:pPr>
      <w:r>
        <w:rPr>
          <w:rFonts w:ascii="宋体" w:hAnsi="宋体" w:eastAsia="宋体" w:cs="宋体"/>
          <w:bCs/>
          <w:kern w:val="0"/>
          <w:sz w:val="36"/>
          <w:szCs w:val="24"/>
        </w:rPr>
        <w:t>项目名称：</w:t>
      </w:r>
      <w:r>
        <w:rPr>
          <w:rFonts w:hint="eastAsia" w:ascii="宋体" w:hAnsi="宋体" w:eastAsia="宋体" w:cs="宋体"/>
          <w:spacing w:val="-4"/>
          <w:sz w:val="36"/>
          <w:szCs w:val="36"/>
        </w:rPr>
        <w:t>第十期“雪亮工程”公共安全视频监控</w:t>
      </w:r>
      <w:r>
        <w:rPr>
          <w:rFonts w:hint="eastAsia" w:ascii="宋体" w:hAnsi="宋体" w:eastAsia="宋体" w:cs="宋体"/>
          <w:spacing w:val="-4"/>
          <w:sz w:val="36"/>
          <w:szCs w:val="36"/>
          <w:lang w:eastAsia="zh-CN"/>
        </w:rPr>
        <w:t>建设</w:t>
      </w:r>
      <w:r>
        <w:rPr>
          <w:rFonts w:hint="eastAsia" w:ascii="宋体" w:hAnsi="宋体" w:eastAsia="宋体" w:cs="宋体"/>
          <w:spacing w:val="-4"/>
          <w:sz w:val="36"/>
          <w:szCs w:val="36"/>
        </w:rPr>
        <w:t>联网</w:t>
      </w:r>
      <w:r>
        <w:rPr>
          <w:rFonts w:hint="eastAsia" w:ascii="宋体" w:hAnsi="宋体" w:eastAsia="宋体" w:cs="宋体"/>
          <w:spacing w:val="-4"/>
          <w:sz w:val="36"/>
          <w:szCs w:val="36"/>
          <w:lang w:eastAsia="zh-CN"/>
        </w:rPr>
        <w:t>应用采购项目</w:t>
      </w: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center"/>
        <w:rPr>
          <w:rFonts w:hint="default" w:ascii="宋体" w:hAnsi="宋体" w:eastAsia="宋体" w:cs="宋体"/>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val="en-US" w:eastAsia="zh-CN"/>
        </w:rPr>
        <w:t>JNGDWL</w:t>
      </w:r>
      <w:r>
        <w:rPr>
          <w:rStyle w:val="16"/>
          <w:rFonts w:hint="eastAsia" w:ascii="宋体" w:hAnsi="宋体" w:eastAsia="宋体" w:cs="宋体"/>
          <w:b w:val="0"/>
          <w:bCs w:val="0"/>
          <w:i w:val="0"/>
          <w:caps w:val="0"/>
          <w:color w:val="393939"/>
          <w:spacing w:val="0"/>
          <w:sz w:val="36"/>
          <w:szCs w:val="36"/>
          <w:shd w:val="clear" w:color="auto" w:fill="FFFFFF"/>
        </w:rPr>
        <w:t>2019</w:t>
      </w:r>
      <w:r>
        <w:rPr>
          <w:rStyle w:val="16"/>
          <w:rFonts w:hint="eastAsia" w:ascii="宋体" w:hAnsi="宋体" w:eastAsia="宋体" w:cs="宋体"/>
          <w:b w:val="0"/>
          <w:bCs w:val="0"/>
          <w:i w:val="0"/>
          <w:caps w:val="0"/>
          <w:color w:val="393939"/>
          <w:spacing w:val="0"/>
          <w:sz w:val="36"/>
          <w:szCs w:val="36"/>
          <w:shd w:val="clear" w:color="auto" w:fill="FFFFFF"/>
          <w:lang w:val="en-US" w:eastAsia="zh-CN"/>
        </w:rPr>
        <w:t>1107</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福建广电网络集团股份有限公司三明分公司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11</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9"/>
            <w:tabs>
              <w:tab w:val="right" w:leader="dot" w:pos="8296"/>
            </w:tabs>
            <w:spacing w:line="360" w:lineRule="auto"/>
            <w:rPr>
              <w:rFonts w:ascii="宋体" w:hAnsi="宋体" w:eastAsia="宋体"/>
              <w:b/>
            </w:rPr>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"_Toc513643997" </w:instrText>
          </w:r>
          <w:r>
            <w:fldChar w:fldCharType="separate"/>
          </w:r>
          <w:r>
            <w:rPr>
              <w:rStyle w:val="19"/>
              <w:rFonts w:ascii="宋体" w:hAnsi="宋体" w:eastAsia="宋体"/>
              <w:b/>
            </w:rPr>
            <w:t>第一章 询价邀请/询价邀请书</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_Toc513643997 \h </w:instrText>
          </w:r>
          <w:r>
            <w:rPr>
              <w:rFonts w:ascii="宋体" w:hAnsi="宋体" w:eastAsia="宋体"/>
              <w:b/>
            </w:rPr>
            <w:fldChar w:fldCharType="separate"/>
          </w:r>
          <w:r>
            <w:rPr>
              <w:rFonts w:ascii="宋体" w:hAnsi="宋体" w:eastAsia="宋体"/>
              <w:b/>
            </w:rPr>
            <w:t>1</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"_Toc513643998" </w:instrText>
          </w:r>
          <w:r>
            <w:fldChar w:fldCharType="separate"/>
          </w:r>
          <w:r>
            <w:rPr>
              <w:rStyle w:val="19"/>
              <w:rFonts w:ascii="宋体" w:hAnsi="宋体" w:eastAsia="宋体"/>
              <w:b/>
            </w:rPr>
            <w:t>第二章 询价须知</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_Toc513643998 \h </w:instrText>
          </w:r>
          <w:r>
            <w:rPr>
              <w:rFonts w:ascii="宋体" w:hAnsi="宋体" w:eastAsia="宋体"/>
              <w:b/>
            </w:rPr>
            <w:fldChar w:fldCharType="separate"/>
          </w:r>
          <w:r>
            <w:rPr>
              <w:rFonts w:ascii="宋体" w:hAnsi="宋体" w:eastAsia="宋体"/>
              <w:b/>
            </w:rPr>
            <w:t>2</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"_Toc513643999" </w:instrText>
          </w:r>
          <w:r>
            <w:fldChar w:fldCharType="separate"/>
          </w:r>
          <w:r>
            <w:rPr>
              <w:rStyle w:val="19"/>
              <w:rFonts w:ascii="宋体" w:hAnsi="宋体" w:eastAsia="宋体"/>
              <w:b/>
            </w:rPr>
            <w:t>第三章 询价内容及要求</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_Toc513643999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"_Toc513644000" </w:instrText>
          </w:r>
          <w:r>
            <w:fldChar w:fldCharType="separate"/>
          </w:r>
          <w:r>
            <w:rPr>
              <w:rStyle w:val="19"/>
              <w:rFonts w:ascii="宋体" w:hAnsi="宋体" w:eastAsia="宋体"/>
              <w:b/>
            </w:rPr>
            <w:t>一、采购标的一览表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_Toc513644000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"_Toc513644001" </w:instrText>
          </w:r>
          <w:r>
            <w:fldChar w:fldCharType="separate"/>
          </w:r>
          <w:r>
            <w:rPr>
              <w:rStyle w:val="19"/>
              <w:rFonts w:ascii="宋体" w:hAnsi="宋体" w:eastAsia="宋体"/>
              <w:b/>
            </w:rPr>
            <w:t>二、技术要求（以下内容不允许负偏离）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_Toc513644001 \h </w:instrText>
          </w:r>
          <w:r>
            <w:rPr>
              <w:rFonts w:ascii="宋体" w:hAnsi="宋体" w:eastAsia="宋体"/>
              <w:b/>
            </w:rPr>
            <w:fldChar w:fldCharType="separate"/>
          </w:r>
          <w:r>
            <w:rPr>
              <w:rFonts w:ascii="宋体" w:hAnsi="宋体" w:eastAsia="宋体"/>
              <w:b/>
            </w:rPr>
            <w:t>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"_Toc513644002" </w:instrText>
          </w:r>
          <w:r>
            <w:fldChar w:fldCharType="separate"/>
          </w:r>
          <w:r>
            <w:rPr>
              <w:rStyle w:val="19"/>
              <w:rFonts w:ascii="宋体" w:hAnsi="宋体" w:eastAsia="宋体"/>
              <w:b/>
            </w:rPr>
            <w:t>三、商务条件（以下内容不允许负偏离）</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_Toc513644002 \h </w:instrText>
          </w:r>
          <w:r>
            <w:rPr>
              <w:rFonts w:ascii="宋体" w:hAnsi="宋体" w:eastAsia="宋体"/>
              <w:b/>
            </w:rPr>
            <w:fldChar w:fldCharType="separate"/>
          </w:r>
          <w:r>
            <w:rPr>
              <w:rFonts w:ascii="宋体" w:hAnsi="宋体" w:eastAsia="宋体"/>
              <w:b/>
            </w:rPr>
            <w:t>14</w:t>
          </w:r>
          <w:r>
            <w:rPr>
              <w:rFonts w:ascii="宋体" w:hAnsi="宋体" w:eastAsia="宋体"/>
              <w:b/>
            </w:rPr>
            <w:fldChar w:fldCharType="end"/>
          </w:r>
          <w:r>
            <w:rPr>
              <w:rFonts w:ascii="宋体" w:hAnsi="宋体" w:eastAsia="宋体"/>
              <w:b/>
            </w:rPr>
            <w:fldChar w:fldCharType="end"/>
          </w:r>
        </w:p>
        <w:p>
          <w:pPr>
            <w:pStyle w:val="9"/>
            <w:tabs>
              <w:tab w:val="right" w:leader="dot" w:pos="8296"/>
            </w:tabs>
            <w:spacing w:line="360" w:lineRule="auto"/>
            <w:rPr>
              <w:rFonts w:ascii="宋体" w:hAnsi="宋体" w:eastAsia="宋体"/>
              <w:b/>
            </w:rPr>
          </w:pPr>
          <w:r>
            <w:fldChar w:fldCharType="begin"/>
          </w:r>
          <w:r>
            <w:instrText xml:space="preserve"> HYPERLINK \l "_Toc513644003" </w:instrText>
          </w:r>
          <w:r>
            <w:fldChar w:fldCharType="separate"/>
          </w:r>
          <w:r>
            <w:rPr>
              <w:rStyle w:val="19"/>
              <w:rFonts w:ascii="宋体" w:hAnsi="宋体" w:eastAsia="宋体"/>
              <w:b/>
            </w:rPr>
            <w:t>第四章 响应文件格式</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_Toc513644003 \h </w:instrText>
          </w:r>
          <w:r>
            <w:rPr>
              <w:rFonts w:ascii="宋体" w:hAnsi="宋体" w:eastAsia="宋体"/>
              <w:b/>
            </w:rPr>
            <w:fldChar w:fldCharType="separate"/>
          </w:r>
          <w:r>
            <w:rPr>
              <w:rFonts w:ascii="宋体" w:hAnsi="宋体" w:eastAsia="宋体"/>
              <w:b/>
            </w:rPr>
            <w:t>17</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"_Toc513644004" </w:instrText>
          </w:r>
          <w:r>
            <w:fldChar w:fldCharType="separate"/>
          </w:r>
          <w:r>
            <w:rPr>
              <w:rStyle w:val="19"/>
              <w:rFonts w:ascii="宋体" w:hAnsi="宋体" w:eastAsia="宋体" w:cs="Calibri"/>
              <w:b/>
            </w:rPr>
            <w:t>一</w:t>
          </w:r>
          <w:r>
            <w:rPr>
              <w:rStyle w:val="19"/>
              <w:rFonts w:ascii="宋体" w:hAnsi="宋体" w:eastAsia="宋体"/>
              <w:b/>
            </w:rPr>
            <w:t>、投标函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_Toc513644004 \h </w:instrText>
          </w:r>
          <w:r>
            <w:rPr>
              <w:rFonts w:ascii="宋体" w:hAnsi="宋体" w:eastAsia="宋体"/>
              <w:b/>
            </w:rPr>
            <w:fldChar w:fldCharType="separate"/>
          </w:r>
          <w:r>
            <w:rPr>
              <w:rFonts w:ascii="宋体" w:hAnsi="宋体" w:eastAsia="宋体"/>
              <w:b/>
            </w:rPr>
            <w:t>19</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"_Toc513644005" </w:instrText>
          </w:r>
          <w:r>
            <w:fldChar w:fldCharType="separate"/>
          </w:r>
          <w:r>
            <w:rPr>
              <w:rStyle w:val="19"/>
              <w:rFonts w:ascii="宋体" w:hAnsi="宋体" w:eastAsia="宋体"/>
              <w:b/>
            </w:rPr>
            <w:t>二、报价表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_Toc513644005 \h </w:instrText>
          </w:r>
          <w:r>
            <w:rPr>
              <w:rFonts w:ascii="宋体" w:hAnsi="宋体" w:eastAsia="宋体"/>
              <w:b/>
            </w:rPr>
            <w:fldChar w:fldCharType="separate"/>
          </w:r>
          <w:r>
            <w:rPr>
              <w:rFonts w:ascii="宋体" w:hAnsi="宋体" w:eastAsia="宋体"/>
              <w:b/>
            </w:rPr>
            <w:t>21</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"_Toc513644006" </w:instrText>
          </w:r>
          <w:r>
            <w:fldChar w:fldCharType="separate"/>
          </w:r>
          <w:r>
            <w:rPr>
              <w:rStyle w:val="19"/>
              <w:rFonts w:ascii="宋体" w:hAnsi="宋体" w:eastAsia="宋体"/>
              <w:b/>
            </w:rPr>
            <w:t>三、资格证明文件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_Toc513644006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"_Toc513644007" </w:instrText>
          </w:r>
          <w:r>
            <w:fldChar w:fldCharType="separate"/>
          </w:r>
          <w:r>
            <w:rPr>
              <w:rStyle w:val="19"/>
              <w:rFonts w:ascii="宋体" w:hAnsi="宋体" w:eastAsia="宋体"/>
              <w:b/>
            </w:rPr>
            <w:t>3-1单位负责人授权书（若有）</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_Toc513644007 \h </w:instrText>
          </w:r>
          <w:r>
            <w:rPr>
              <w:rFonts w:ascii="宋体" w:hAnsi="宋体" w:eastAsia="宋体"/>
              <w:b/>
            </w:rPr>
            <w:fldChar w:fldCharType="separate"/>
          </w:r>
          <w:r>
            <w:rPr>
              <w:rFonts w:ascii="宋体" w:hAnsi="宋体" w:eastAsia="宋体"/>
              <w:b/>
            </w:rPr>
            <w:t>22</w:t>
          </w:r>
          <w:r>
            <w:rPr>
              <w:rFonts w:ascii="宋体" w:hAnsi="宋体" w:eastAsia="宋体"/>
              <w:b/>
            </w:rPr>
            <w:fldChar w:fldCharType="end"/>
          </w:r>
          <w:r>
            <w:rPr>
              <w:rFonts w:ascii="宋体" w:hAnsi="宋体" w:eastAsia="宋体"/>
              <w:b/>
            </w:rPr>
            <w:fldChar w:fldCharType="end"/>
          </w:r>
        </w:p>
        <w:p>
          <w:pPr>
            <w:pStyle w:val="6"/>
            <w:tabs>
              <w:tab w:val="right" w:leader="dot" w:pos="8296"/>
            </w:tabs>
            <w:spacing w:line="360" w:lineRule="auto"/>
            <w:rPr>
              <w:rFonts w:ascii="宋体" w:hAnsi="宋体" w:eastAsia="宋体"/>
              <w:b/>
            </w:rPr>
          </w:pPr>
          <w:r>
            <w:fldChar w:fldCharType="begin"/>
          </w:r>
          <w:r>
            <w:instrText xml:space="preserve"> HYPERLINK \l "_Toc513644008" </w:instrText>
          </w:r>
          <w:r>
            <w:fldChar w:fldCharType="separate"/>
          </w:r>
          <w:r>
            <w:rPr>
              <w:rStyle w:val="19"/>
              <w:rFonts w:ascii="宋体" w:hAnsi="宋体" w:eastAsia="宋体"/>
              <w:b/>
            </w:rPr>
            <w:t>3-2营业执照等证明文件</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_Toc513644008 \h </w:instrText>
          </w:r>
          <w:r>
            <w:rPr>
              <w:rFonts w:ascii="宋体" w:hAnsi="宋体" w:eastAsia="宋体"/>
              <w:b/>
            </w:rPr>
            <w:fldChar w:fldCharType="separate"/>
          </w:r>
          <w:r>
            <w:rPr>
              <w:rFonts w:ascii="宋体" w:hAnsi="宋体" w:eastAsia="宋体"/>
              <w:b/>
            </w:rPr>
            <w:t>23</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"_Toc513644009" </w:instrText>
          </w:r>
          <w:r>
            <w:fldChar w:fldCharType="separate"/>
          </w:r>
          <w:r>
            <w:rPr>
              <w:rStyle w:val="19"/>
              <w:rFonts w:ascii="宋体" w:hAnsi="宋体" w:eastAsia="宋体"/>
              <w:b/>
            </w:rPr>
            <w:t>四、技术要求响应表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_Toc513644009 \h </w:instrText>
          </w:r>
          <w:r>
            <w:rPr>
              <w:rFonts w:ascii="宋体" w:hAnsi="宋体" w:eastAsia="宋体"/>
              <w:b/>
            </w:rPr>
            <w:fldChar w:fldCharType="separate"/>
          </w:r>
          <w:r>
            <w:rPr>
              <w:rFonts w:ascii="宋体" w:hAnsi="宋体" w:eastAsia="宋体"/>
              <w:b/>
            </w:rPr>
            <w:t>24</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"_Toc513644010" </w:instrText>
          </w:r>
          <w:r>
            <w:fldChar w:fldCharType="separate"/>
          </w:r>
          <w:r>
            <w:rPr>
              <w:rStyle w:val="19"/>
              <w:rFonts w:ascii="宋体" w:hAnsi="宋体" w:eastAsia="宋体"/>
              <w:b/>
            </w:rPr>
            <w:t>五、商务条件响应表</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_Toc513644010 \h </w:instrText>
          </w:r>
          <w:r>
            <w:rPr>
              <w:rFonts w:ascii="宋体" w:hAnsi="宋体" w:eastAsia="宋体"/>
              <w:b/>
            </w:rPr>
            <w:fldChar w:fldCharType="separate"/>
          </w:r>
          <w:r>
            <w:rPr>
              <w:rFonts w:ascii="宋体" w:hAnsi="宋体" w:eastAsia="宋体"/>
              <w:b/>
            </w:rPr>
            <w:t>25</w:t>
          </w:r>
          <w:r>
            <w:rPr>
              <w:rFonts w:ascii="宋体" w:hAnsi="宋体" w:eastAsia="宋体"/>
              <w:b/>
            </w:rPr>
            <w:fldChar w:fldCharType="end"/>
          </w:r>
          <w:r>
            <w:rPr>
              <w:rFonts w:ascii="宋体" w:hAnsi="宋体" w:eastAsia="宋体"/>
              <w:b/>
            </w:rPr>
            <w:fldChar w:fldCharType="end"/>
          </w:r>
        </w:p>
        <w:p>
          <w:pPr>
            <w:pStyle w:val="10"/>
            <w:tabs>
              <w:tab w:val="right" w:leader="dot" w:pos="8296"/>
            </w:tabs>
            <w:spacing w:line="360" w:lineRule="auto"/>
            <w:rPr>
              <w:rFonts w:ascii="宋体" w:hAnsi="宋体" w:eastAsia="宋体"/>
              <w:b/>
            </w:rPr>
          </w:pPr>
          <w:r>
            <w:fldChar w:fldCharType="begin"/>
          </w:r>
          <w:r>
            <w:instrText xml:space="preserve"> HYPERLINK \l "_Toc513644011" </w:instrText>
          </w:r>
          <w:r>
            <w:fldChar w:fldCharType="separate"/>
          </w:r>
          <w:r>
            <w:rPr>
              <w:rStyle w:val="19"/>
              <w:rFonts w:ascii="宋体" w:hAnsi="宋体" w:eastAsia="宋体"/>
              <w:b/>
            </w:rPr>
            <w:t>六、售后服务承诺函</w:t>
          </w:r>
          <w:r>
            <w:rPr>
              <w:rFonts w:ascii="宋体" w:hAnsi="宋体" w:eastAsia="宋体"/>
              <w:b/>
            </w:rPr>
            <w:tab/>
          </w:r>
          <w:r>
            <w:rPr>
              <w:rFonts w:ascii="宋体" w:hAnsi="宋体" w:eastAsia="宋体"/>
              <w:b/>
            </w:rPr>
            <w:fldChar w:fldCharType="begin"/>
          </w:r>
          <w:r>
            <w:rPr>
              <w:rFonts w:ascii="宋体" w:hAnsi="宋体" w:eastAsia="宋体"/>
              <w:b/>
            </w:rPr>
            <w:instrText xml:space="preserve"> PAGEREF _Toc513644011 \h </w:instrText>
          </w:r>
          <w:r>
            <w:rPr>
              <w:rFonts w:ascii="宋体" w:hAnsi="宋体" w:eastAsia="宋体"/>
              <w:b/>
            </w:rPr>
            <w:fldChar w:fldCharType="separate"/>
          </w:r>
          <w:r>
            <w:rPr>
              <w:rFonts w:ascii="宋体" w:hAnsi="宋体" w:eastAsia="宋体"/>
              <w:b/>
            </w:rPr>
            <w:t>26</w:t>
          </w:r>
          <w:r>
            <w:rPr>
              <w:rFonts w:ascii="宋体" w:hAnsi="宋体" w:eastAsia="宋体"/>
              <w:b/>
            </w:rPr>
            <w:fldChar w:fldCharType="end"/>
          </w:r>
          <w:r>
            <w:rPr>
              <w:rFonts w:ascii="宋体" w:hAnsi="宋体" w:eastAsia="宋体"/>
              <w:b/>
            </w:rP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513643997"/>
      <w:r>
        <w:t>第一章</w:t>
      </w:r>
      <w:r>
        <w:rPr>
          <w:rFonts w:hint="eastAsia"/>
        </w:rPr>
        <w:t xml:space="preserve"> </w:t>
      </w:r>
      <w:r>
        <w:t>询价邀请/询价邀请书</w:t>
      </w:r>
      <w:bookmarkEnd w:id="0"/>
    </w:p>
    <w:p>
      <w:pPr>
        <w:widowControl/>
        <w:shd w:val="clear" w:color="auto" w:fill="FFFFFF"/>
        <w:spacing w:line="240" w:lineRule="auto"/>
        <w:ind w:firstLine="480" w:firstLineChars="200"/>
        <w:jc w:val="left"/>
        <w:rPr>
          <w:rFonts w:ascii="宋体" w:hAnsi="宋体" w:eastAsia="宋体"/>
          <w:sz w:val="24"/>
          <w:szCs w:val="24"/>
        </w:rPr>
      </w:pPr>
      <w:r>
        <w:rPr>
          <w:rFonts w:hint="eastAsia" w:ascii="宋体" w:hAnsi="宋体" w:eastAsia="宋体"/>
          <w:sz w:val="24"/>
          <w:szCs w:val="24"/>
        </w:rPr>
        <w:t>福建广电网络集团股份有限公司三明分公司组织三明市第十期“雪亮工程”公共安全视频监控</w:t>
      </w:r>
      <w:r>
        <w:rPr>
          <w:rFonts w:hint="eastAsia" w:ascii="宋体" w:hAnsi="宋体" w:eastAsia="宋体"/>
          <w:sz w:val="24"/>
          <w:szCs w:val="24"/>
          <w:lang w:eastAsia="zh-CN"/>
        </w:rPr>
        <w:t>建设</w:t>
      </w:r>
      <w:r>
        <w:rPr>
          <w:rFonts w:hint="eastAsia" w:ascii="宋体" w:hAnsi="宋体" w:eastAsia="宋体"/>
          <w:sz w:val="24"/>
          <w:szCs w:val="24"/>
        </w:rPr>
        <w:t>联网</w:t>
      </w:r>
      <w:r>
        <w:rPr>
          <w:rFonts w:hint="eastAsia" w:ascii="宋体" w:hAnsi="宋体" w:eastAsia="宋体"/>
          <w:sz w:val="24"/>
          <w:szCs w:val="24"/>
          <w:lang w:eastAsia="zh-CN"/>
        </w:rPr>
        <w:t>应用采购项目</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val="en-US" w:eastAsia="zh-CN"/>
        </w:rPr>
        <w:t>JNGDWL</w:t>
      </w:r>
      <w:r>
        <w:rPr>
          <w:rStyle w:val="16"/>
          <w:rFonts w:hint="eastAsia" w:ascii="宋体" w:hAnsi="宋体" w:eastAsia="宋体" w:cs="宋体"/>
          <w:b w:val="0"/>
          <w:bCs w:val="0"/>
          <w:i w:val="0"/>
          <w:caps w:val="0"/>
          <w:color w:val="393939"/>
          <w:spacing w:val="0"/>
          <w:sz w:val="24"/>
          <w:szCs w:val="24"/>
          <w:shd w:val="clear" w:color="auto" w:fill="FFFFFF"/>
        </w:rPr>
        <w:t>2019</w:t>
      </w:r>
      <w:r>
        <w:rPr>
          <w:rStyle w:val="16"/>
          <w:rFonts w:hint="eastAsia" w:ascii="宋体" w:hAnsi="宋体" w:eastAsia="宋体" w:cs="宋体"/>
          <w:b w:val="0"/>
          <w:bCs w:val="0"/>
          <w:i w:val="0"/>
          <w:caps w:val="0"/>
          <w:color w:val="393939"/>
          <w:spacing w:val="0"/>
          <w:sz w:val="24"/>
          <w:szCs w:val="24"/>
          <w:shd w:val="clear" w:color="auto" w:fill="FFFFFF"/>
          <w:lang w:val="en-US" w:eastAsia="zh-CN"/>
        </w:rPr>
        <w:t>1107</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预算金额、最高限价：包</w:t>
      </w: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1070096</w:t>
      </w:r>
      <w:r>
        <w:rPr>
          <w:rFonts w:ascii="宋体" w:hAnsi="宋体" w:eastAsia="宋体"/>
          <w:sz w:val="24"/>
          <w:szCs w:val="24"/>
        </w:rPr>
        <w:t>元</w:t>
      </w:r>
      <w:r>
        <w:rPr>
          <w:rFonts w:hint="eastAsia" w:ascii="宋体" w:hAnsi="宋体" w:eastAsia="宋体"/>
          <w:sz w:val="24"/>
          <w:szCs w:val="24"/>
        </w:rPr>
        <w:t>。</w:t>
      </w:r>
      <w:r>
        <w:rPr>
          <w:rFonts w:hint="eastAsia" w:ascii="宋体" w:hAnsi="宋体" w:eastAsia="宋体"/>
          <w:sz w:val="24"/>
          <w:szCs w:val="24"/>
        </w:rPr>
        <w:br w:type="textWrapping"/>
      </w:r>
      <w:r>
        <w:rPr>
          <w:rFonts w:hint="eastAsia" w:ascii="宋体" w:hAnsi="宋体" w:eastAsia="宋体"/>
          <w:sz w:val="24"/>
          <w:szCs w:val="24"/>
          <w:lang w:val="en-US" w:eastAsia="zh-CN"/>
        </w:rPr>
        <w:t xml:space="preserve">    </w:t>
      </w:r>
      <w:r>
        <w:rPr>
          <w:rFonts w:ascii="宋体" w:hAnsi="宋体" w:eastAsia="宋体"/>
          <w:sz w:val="24"/>
          <w:szCs w:val="24"/>
        </w:rPr>
        <w:t>3、询价内容及技术商务依据三明国信招投标有限公司编号为：</w:t>
      </w:r>
      <w:r>
        <w:rPr>
          <w:rFonts w:hint="eastAsia" w:ascii="宋体" w:hAnsi="宋体" w:eastAsia="宋体"/>
          <w:sz w:val="24"/>
          <w:szCs w:val="24"/>
          <w:lang w:val="en-US" w:eastAsia="zh-CN"/>
        </w:rPr>
        <w:t>[350430]SMGX[GK]2019049</w:t>
      </w:r>
      <w:r>
        <w:rPr>
          <w:rFonts w:ascii="宋体" w:hAnsi="宋体" w:eastAsia="宋体"/>
          <w:sz w:val="24"/>
          <w:szCs w:val="24"/>
        </w:rPr>
        <w:t>项目要求</w:t>
      </w:r>
      <w:r>
        <w:rPr>
          <w:rFonts w:hint="eastAsia" w:ascii="宋体" w:hAnsi="宋体" w:eastAsia="宋体"/>
          <w:sz w:val="24"/>
          <w:szCs w:val="24"/>
        </w:rPr>
        <w:t>。</w:t>
      </w:r>
    </w:p>
    <w:p>
      <w:pPr>
        <w:pStyle w:val="12"/>
        <w:snapToGrid w:val="0"/>
        <w:spacing w:line="360" w:lineRule="auto"/>
        <w:contextualSpacing/>
      </w:pPr>
      <w:r>
        <w:rPr>
          <w:rFonts w:hint="eastAsia"/>
        </w:rPr>
        <w:br w:type="textWrapping"/>
      </w:r>
      <w:r>
        <w:rPr>
          <w:rFonts w:hint="eastAsia"/>
        </w:rPr>
        <w:t>二、供应商资格要求</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ind w:left="2409" w:hanging="2409" w:hangingChars="500"/>
      </w:pPr>
      <w:bookmarkStart w:id="1" w:name="_Toc513643998"/>
      <w:r>
        <w:br w:type="textWrapping"/>
      </w:r>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3"/>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2"/>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2"/>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2"/>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2"/>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60</w:t>
            </w:r>
            <w:r>
              <w:rPr>
                <w:rFonts w:ascii="宋体" w:hAnsi="宋体" w:eastAsia="宋体" w:cs="宋体"/>
                <w:kern w:val="0"/>
                <w:sz w:val="24"/>
                <w:szCs w:val="24"/>
              </w:rPr>
              <w:t>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val="en-US"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合同签订后，7日内付</w:t>
            </w:r>
            <w:r>
              <w:rPr>
                <w:rFonts w:hint="eastAsia" w:ascii="宋体" w:hAnsi="宋体" w:eastAsia="宋体" w:cs="宋体"/>
                <w:kern w:val="0"/>
                <w:sz w:val="24"/>
                <w:szCs w:val="24"/>
                <w:lang w:eastAsia="zh-CN"/>
              </w:rPr>
              <w:t>合</w:t>
            </w:r>
            <w:r>
              <w:rPr>
                <w:rFonts w:hint="eastAsia" w:ascii="宋体" w:hAnsi="宋体" w:eastAsia="宋体" w:cs="宋体"/>
                <w:kern w:val="0"/>
                <w:sz w:val="24"/>
                <w:szCs w:val="24"/>
              </w:rPr>
              <w:t>同总金额的50%，工程安装调试验收后，付总金额的45%，剩余的5%作为质保金，在第五年无质量问题一次性付清。</w:t>
            </w:r>
          </w:p>
        </w:tc>
      </w:tr>
    </w:tbl>
    <w:p>
      <w:pPr>
        <w:pStyle w:val="2"/>
      </w:pPr>
      <w:bookmarkStart w:id="2" w:name="_Toc513643999"/>
    </w:p>
    <w:p>
      <w:pPr>
        <w:pStyle w:val="2"/>
        <w:ind w:firstLine="1446" w:firstLineChars="300"/>
      </w:pPr>
      <w:r>
        <w:t>第</w:t>
      </w:r>
      <w:r>
        <w:rPr>
          <w:rFonts w:hint="eastAsia"/>
        </w:rPr>
        <w:t>三</w:t>
      </w:r>
      <w:r>
        <w:t>章</w:t>
      </w:r>
      <w:r>
        <w:rPr>
          <w:rFonts w:hint="eastAsia"/>
        </w:rPr>
        <w:t xml:space="preserve"> </w:t>
      </w:r>
      <w:r>
        <w:t>询价内容及要求</w:t>
      </w:r>
      <w:bookmarkEnd w:id="2"/>
    </w:p>
    <w:p>
      <w:pPr>
        <w:pStyle w:val="3"/>
      </w:pPr>
      <w:bookmarkStart w:id="3" w:name="_Toc513644000"/>
      <w:r>
        <w:t>一、采购标的</w:t>
      </w:r>
      <w:r>
        <w:rPr>
          <w:rFonts w:hint="eastAsia"/>
        </w:rPr>
        <w:t>一览表</w:t>
      </w:r>
      <w:bookmarkEnd w:id="3"/>
    </w:p>
    <w:tbl>
      <w:tblPr>
        <w:tblStyle w:val="13"/>
        <w:tblW w:w="836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7"/>
        <w:gridCol w:w="929"/>
        <w:gridCol w:w="1861"/>
        <w:gridCol w:w="930"/>
        <w:gridCol w:w="930"/>
        <w:gridCol w:w="930"/>
        <w:gridCol w:w="930"/>
        <w:gridCol w:w="9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92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bookmarkStart w:id="4" w:name="_Toc513644001"/>
            <w:r>
              <w:rPr>
                <w:rFonts w:ascii="宋体" w:hAnsi="宋体" w:eastAsia="宋体" w:cs="宋体"/>
                <w:kern w:val="0"/>
                <w:sz w:val="24"/>
                <w:szCs w:val="24"/>
                <w:lang w:val="en-US" w:eastAsia="zh-CN" w:bidi="ar"/>
              </w:rPr>
              <w:t>合同包</w:t>
            </w:r>
          </w:p>
        </w:tc>
        <w:tc>
          <w:tcPr>
            <w:tcW w:w="92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86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5580" w:type="dxa"/>
            <w:gridSpan w:val="5"/>
            <w:tcBorders>
              <w:top w:val="outset" w:color="auto" w:sz="6" w:space="0"/>
              <w:left w:val="outset" w:color="auto" w:sz="6" w:space="0"/>
              <w:bottom w:val="outset" w:color="auto" w:sz="6" w:space="0"/>
              <w:right w:val="outset" w:color="auto" w:sz="6" w:space="0"/>
            </w:tcBorders>
            <w:noWrap w:val="0"/>
            <w:vAlign w:val="center"/>
          </w:tcPr>
          <w:tbl>
            <w:tblPr>
              <w:tblStyle w:val="13"/>
              <w:tblW w:w="554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908"/>
              <w:gridCol w:w="1858"/>
              <w:gridCol w:w="929"/>
              <w:gridCol w:w="928"/>
              <w:gridCol w:w="919"/>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4-1</w:t>
                  </w:r>
                </w:p>
              </w:tc>
              <w:tc>
                <w:tcPr>
                  <w:tcW w:w="18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安全、检查、监视、报警设备</w:t>
                  </w:r>
                </w:p>
              </w:tc>
              <w:tc>
                <w:tcPr>
                  <w:tcW w:w="92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9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91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p>
              </w:tc>
            </w:tr>
          </w:tbl>
          <w:p>
            <w:pPr>
              <w:jc w:val="center"/>
            </w:pP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eastAsiaTheme="minorEastAsia"/>
                <w:lang w:val="en-US" w:eastAsia="zh-CN"/>
              </w:rPr>
            </w:pPr>
            <w:r>
              <w:rPr>
                <w:rFonts w:hint="eastAsia"/>
                <w:lang w:val="en-US" w:eastAsia="zh-CN"/>
              </w:rPr>
              <w:t>1070096</w:t>
            </w:r>
          </w:p>
        </w:tc>
        <w:tc>
          <w:tcPr>
            <w:tcW w:w="93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22900</w:t>
            </w:r>
          </w:p>
        </w:tc>
      </w:tr>
    </w:tbl>
    <w:p>
      <w:pPr>
        <w:pStyle w:val="3"/>
      </w:pPr>
      <w:r>
        <w:t>二、技术要求（以下内容不允许负偏离）</w:t>
      </w:r>
      <w:bookmarkEnd w:id="4"/>
    </w:p>
    <w:tbl>
      <w:tblPr>
        <w:tblStyle w:val="13"/>
        <w:tblW w:w="83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97"/>
        <w:gridCol w:w="1118"/>
        <w:gridCol w:w="5707"/>
        <w:gridCol w:w="297"/>
        <w:gridCol w:w="404"/>
        <w:gridCol w:w="5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80" w:hRule="atLeast"/>
        </w:trPr>
        <w:tc>
          <w:tcPr>
            <w:tcW w:w="8336" w:type="dxa"/>
            <w:gridSpan w:val="6"/>
            <w:tcBorders>
              <w:top w:val="single" w:color="000000" w:sz="6" w:space="0"/>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合同包四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8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序号</w:t>
            </w:r>
          </w:p>
        </w:tc>
        <w:tc>
          <w:tcPr>
            <w:tcW w:w="1118"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设备名 称及参数</w:t>
            </w:r>
          </w:p>
        </w:tc>
        <w:tc>
          <w:tcPr>
            <w:tcW w:w="570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主要设备技术指标</w:t>
            </w:r>
          </w:p>
        </w:tc>
        <w:tc>
          <w:tcPr>
            <w:tcW w:w="29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单位</w:t>
            </w:r>
          </w:p>
        </w:tc>
        <w:tc>
          <w:tcPr>
            <w:tcW w:w="404"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数量</w:t>
            </w:r>
          </w:p>
        </w:tc>
        <w:tc>
          <w:tcPr>
            <w:tcW w:w="513"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trPr>
        <w:tc>
          <w:tcPr>
            <w:tcW w:w="8336" w:type="dxa"/>
            <w:gridSpan w:val="6"/>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一、 前端卡口抓拍部分（10路）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0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1118"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900万像素车辆卡口抓拍机（带WIFI功能）</w:t>
            </w:r>
          </w:p>
        </w:tc>
        <w:tc>
          <w:tcPr>
            <w:tcW w:w="5707" w:type="dxa"/>
            <w:tcBorders>
              <w:top w:val="single" w:color="000000" w:sz="6" w:space="0"/>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wordWrap w:val="0"/>
              <w:spacing w:before="0" w:beforeAutospacing="0" w:after="150" w:afterAutospacing="0"/>
              <w:ind w:left="0" w:right="0"/>
            </w:pPr>
            <w:r>
              <w:t>1. 包含高清一体化嵌入式摄像机、高清镜头、室外防护罩、相机内置网络信号防雷器、电源适配器等</w:t>
            </w:r>
            <w:r>
              <w:br w:type="textWrapping"/>
            </w:r>
            <w:r>
              <w:t>2. 图像传感器：采用≥1英寸GMOS</w:t>
            </w:r>
            <w:r>
              <w:br w:type="textWrapping"/>
            </w:r>
            <w:r>
              <w:t>3. 最大图像尺寸：≥4096×2160像素；字符叠加时最大可支持4096×2800</w:t>
            </w:r>
            <w:r>
              <w:br w:type="textWrapping"/>
            </w:r>
            <w:r>
              <w:t>4. 视频帧率：在1～25fps可调视频压缩支持H.265、H.264、M-JPEG</w:t>
            </w:r>
            <w:r>
              <w:br w:type="textWrapping"/>
            </w:r>
            <w:r>
              <w:t>5. 支持对行人和非机动车的人脸检测功能；可对扣取的人脸图片的像素大小、亮度、边框放大倍数进行调节</w:t>
            </w:r>
            <w:r>
              <w:br w:type="textWrapping"/>
            </w:r>
            <w:r>
              <w:t>6. 支持识别前车窗前设定区域内是否贴有年检标识</w:t>
            </w:r>
            <w:r>
              <w:br w:type="textWrapping"/>
            </w:r>
            <w:r>
              <w:t>7. 支持遮阳板检测功能，主驾驶检出率≥97%，副驾驶检出率≥92%</w:t>
            </w:r>
            <w:r>
              <w:br w:type="textWrapping"/>
            </w:r>
            <w:r>
              <w:t>8. 支持检测主驾驶员男女功能，主驾驶员人脸抠图率≥98%，副驾驶人脸抠图率≥95%</w:t>
            </w:r>
            <w:r>
              <w:br w:type="textWrapping"/>
            </w:r>
            <w:r>
              <w:t>9. 支持未系安全带检测功能，驾驶人未系安全带识别准确率≥98%，系安全带误检率≤5%</w:t>
            </w:r>
          </w:p>
          <w:p>
            <w:pPr>
              <w:pStyle w:val="12"/>
              <w:keepNext w:val="0"/>
              <w:keepLines w:val="0"/>
              <w:widowControl/>
              <w:suppressLineNumbers w:val="0"/>
              <w:wordWrap w:val="0"/>
              <w:spacing w:before="0" w:beforeAutospacing="0" w:after="150" w:afterAutospacing="0"/>
              <w:ind w:left="0" w:right="0"/>
            </w:pPr>
            <w:r>
              <w:t>10. 支持对设定区域内的机动车、非机动车是否悬挂车牌的情况进行检测并显示（需提供在招标日期之前由公安部授权机构出具的检测报告复印件，原件备查）</w:t>
            </w:r>
            <w:r>
              <w:br w:type="textWrapping"/>
            </w:r>
            <w:r>
              <w:t>11. 支持驾驶员行车时打电话动作的检测，是否打电话检测准确率≥80%</w:t>
            </w:r>
            <w:r>
              <w:br w:type="textWrapping"/>
            </w:r>
            <w:r>
              <w:t>12. 支持主码流同时输出不少于30路4096×2160、2Mbps的25帧/s图像以提供客户端浏览</w:t>
            </w:r>
            <w:r>
              <w:br w:type="textWrapping"/>
            </w:r>
            <w:r>
              <w:t>13. 支持机动车、二轮车、三轮车和行人自动区分，区分准确率≥92%</w:t>
            </w:r>
            <w:r>
              <w:br w:type="textWrapping"/>
            </w:r>
            <w:r>
              <w:t>14. 支持二轮车和行人捕获，白天和晚上的捕获率均≥99%</w:t>
            </w:r>
            <w:r>
              <w:br w:type="textWrapping"/>
            </w:r>
            <w:r>
              <w:t>15. 支持危险品车检测功能，识别准确率≥90%</w:t>
            </w:r>
            <w:r>
              <w:br w:type="textWrapping"/>
            </w:r>
            <w:r>
              <w:t>16. 支持按车道属性设置，判定车辆行驶方向，车辆行驶方向包含：东、西、南、北、东南、西南、东北、西北；可判断来向、去向、左转、右转等</w:t>
            </w:r>
            <w:r>
              <w:br w:type="textWrapping"/>
            </w:r>
            <w:r>
              <w:t>17. 支持对污损车牌进行判断和识别，并支持污损车牌还原功能</w:t>
            </w:r>
            <w:r>
              <w:br w:type="textWrapping"/>
            </w:r>
            <w:r>
              <w:t>18. 支持异常车牌检测功能，可对故意遮挡及污损车牌进行判断和识别</w:t>
            </w:r>
          </w:p>
          <w:p>
            <w:pPr>
              <w:pStyle w:val="12"/>
              <w:keepNext w:val="0"/>
              <w:keepLines w:val="0"/>
              <w:widowControl/>
              <w:suppressLineNumbers w:val="0"/>
              <w:wordWrap w:val="0"/>
              <w:spacing w:before="0" w:beforeAutospacing="0" w:after="150" w:afterAutospacing="0"/>
              <w:ind w:left="0" w:right="0"/>
            </w:pPr>
            <w:r>
              <w:t>19. 支持识别蓝（小车）、黄（公交车、大货车）、黑（领馆车牌、涉外车牌）、白（警用）、绿（农用）、红（企业内部车）、黄绿双色和渐变绿色（新能源车牌）等车牌颜色；支持23种以上车型检测，包括小型客车、中型客车、大型客车、微型轿车、小型轿车、两厢轿车、三厢轿车、轿跑、SUV、MPV、面包车、皮卡车、货车、小货车、二轮车、三轮车、集装箱卡车、微卡/栏板车、渣土车、吊车/工程车、油罐车、混凝土搅拌车、平板拖车，准确率不低于99%，支持smart JPEG编码，能够有效减小抓拍图片大小，压缩比0-100可设置，压缩区域个数1-6可配置（需提供在招标日期之前由公安部授权机构出具的检测报告复印件，原件备查）</w:t>
            </w:r>
            <w:r>
              <w:br w:type="textWrapping"/>
            </w:r>
            <w:r>
              <w:t>20. 支持三轮车载人检测功能，并可以统计载人人数</w:t>
            </w:r>
            <w:r>
              <w:br w:type="textWrapping"/>
            </w:r>
            <w:r>
              <w:t>21. 支持包括上身和下身衣服颜色、性别、背包、戴帽子、戴口罩、戴眼镜、年龄段、拎东西等人体特征的识别</w:t>
            </w:r>
            <w:r>
              <w:br w:type="textWrapping"/>
            </w:r>
            <w:r>
              <w:t>22. 支持怀抱婴儿检测功能</w:t>
            </w:r>
            <w:r>
              <w:br w:type="textWrapping"/>
            </w:r>
            <w:r>
              <w:t>22. 支持摩托车、非机动车未带头盔检测</w:t>
            </w:r>
            <w:r>
              <w:br w:type="textWrapping"/>
            </w:r>
            <w:r>
              <w:t>23. 支持非机动车、行人人体和人脸抠取</w:t>
            </w:r>
            <w:r>
              <w:br w:type="textWrapping"/>
            </w:r>
            <w:r>
              <w:t>24. 支持车距违章抓拍功能，当两车距离小于50米，则抓拍后车为违章</w:t>
            </w:r>
            <w:r>
              <w:br w:type="textWrapping"/>
            </w:r>
            <w:r>
              <w:t>25. 支持机动车闯导流鱼腹线违章抓拍</w:t>
            </w:r>
            <w:r>
              <w:br w:type="textWrapping"/>
            </w:r>
            <w:r>
              <w:t>26. 支持车流量检测功能，可以区分车辆是直行还是左转</w:t>
            </w:r>
            <w:r>
              <w:br w:type="textWrapping"/>
            </w:r>
            <w:r>
              <w:t>27. 支持车辆抓拍位置到立杆架设距离叠加功能</w:t>
            </w:r>
          </w:p>
          <w:p>
            <w:pPr>
              <w:pStyle w:val="12"/>
              <w:keepNext w:val="0"/>
              <w:keepLines w:val="0"/>
              <w:widowControl/>
              <w:suppressLineNumbers w:val="0"/>
              <w:wordWrap w:val="0"/>
              <w:spacing w:before="0" w:beforeAutospacing="0" w:after="150" w:afterAutospacing="0"/>
              <w:ind w:left="0" w:right="0"/>
            </w:pPr>
            <w:r>
              <w:t>28.WIFI指标要求:支持无线终端信息采集，采集距离400米</w:t>
            </w:r>
          </w:p>
        </w:tc>
        <w:tc>
          <w:tcPr>
            <w:tcW w:w="29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10</w:t>
            </w:r>
          </w:p>
        </w:tc>
        <w:tc>
          <w:tcPr>
            <w:tcW w:w="513"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卡口抓拍部分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0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2</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爆闪灯</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色温＞4000K；</w:t>
            </w:r>
            <w:r>
              <w:br w:type="textWrapping"/>
            </w:r>
            <w:r>
              <w:t>2. 1路RS485接口、1路爆闪输入接口、1个照度传感器（光敏开关）</w:t>
            </w:r>
            <w:r>
              <w:br w:type="textWrapping"/>
            </w:r>
            <w:r>
              <w:t>3. 补光灯自带光敏控制，可根据环境亮度自动调节闪光强度（需提供在招标日期之前由公安部授权机构出具的检测报告复印件，原件备查）</w:t>
            </w:r>
            <w:r>
              <w:br w:type="textWrapping"/>
            </w:r>
            <w:r>
              <w:t>4. 可通过RS485设置闪光亮度，闪光亮度1~20级可调，；</w:t>
            </w:r>
            <w:r>
              <w:br w:type="textWrapping"/>
            </w:r>
            <w:r>
              <w:t>5. 回电时间应≤50ms</w:t>
            </w:r>
            <w:r>
              <w:br w:type="textWrapping"/>
            </w:r>
            <w:r>
              <w:t>6. 最大功耗＜300W</w:t>
            </w:r>
            <w:r>
              <w:br w:type="textWrapping"/>
            </w:r>
            <w:r>
              <w:t>7. 在-30℃~70℃温度范围内均能正常工作</w:t>
            </w:r>
            <w:r>
              <w:br w:type="textWrapping"/>
            </w:r>
            <w:r>
              <w:t>8. 防护等级IP66</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盏</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20</w:t>
            </w:r>
          </w:p>
        </w:tc>
        <w:tc>
          <w:tcPr>
            <w:tcW w:w="513"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卡口抓拍部分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28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3</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补光灯</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配置≥16颗大功率白光暖光LED频闪灯；最佳补光距离16m～25m；支持5V电平量触发(可选开关量)，最大功率30W</w:t>
            </w:r>
            <w:r>
              <w:br w:type="textWrapping"/>
            </w:r>
            <w:r>
              <w:t>2. 1路频闪输入接口</w:t>
            </w:r>
            <w:r>
              <w:br w:type="textWrapping"/>
            </w:r>
            <w:r>
              <w:t>3. 支持自闪、跟随、自动频闪（外部摄像机触发）模式</w:t>
            </w:r>
            <w:r>
              <w:br w:type="textWrapping"/>
            </w:r>
            <w:r>
              <w:t>4. 频率0-250HZ可调；支持通过调整占空比1%~39%进行亮度调节</w:t>
            </w:r>
            <w:r>
              <w:br w:type="textWrapping"/>
            </w:r>
            <w:r>
              <w:t>5. 支持频率及占空比保护功能</w:t>
            </w:r>
            <w:r>
              <w:br w:type="textWrapping"/>
            </w:r>
            <w:r>
              <w:t>6. 支持通过同步输出端口级联</w:t>
            </w:r>
            <w:r>
              <w:br w:type="textWrapping"/>
            </w:r>
            <w:r>
              <w:t>7. 支持通过RS485远程控制补光灯的亮度、开启/关闭</w:t>
            </w:r>
            <w:r>
              <w:br w:type="textWrapping"/>
            </w:r>
            <w:r>
              <w:t>8. 支持通过RS485对补光灯升级程序</w:t>
            </w:r>
            <w:r>
              <w:br w:type="textWrapping"/>
            </w:r>
            <w:r>
              <w:t>9. 支持远程显示补光灯故障、正常、开启、关闭等工作状态</w:t>
            </w:r>
            <w:r>
              <w:br w:type="textWrapping"/>
            </w:r>
            <w:r>
              <w:t>10. 支持倍频设置功能检查，支持倍频1~15可调</w:t>
            </w:r>
            <w:r>
              <w:br w:type="textWrapping"/>
            </w:r>
            <w:r>
              <w:t>11. 频闪响应时间≤20微秒</w:t>
            </w:r>
            <w:r>
              <w:br w:type="textWrapping"/>
            </w:r>
            <w:r>
              <w:t>12. 当设备占空比设置≤5%时，功耗≤10W</w:t>
            </w:r>
            <w:r>
              <w:br w:type="textWrapping"/>
            </w:r>
            <w:r>
              <w:t>13. 工作环境-40℃~85℃</w:t>
            </w:r>
            <w:r>
              <w:br w:type="textWrapping"/>
            </w:r>
            <w:r>
              <w:t>14. 电源电压在AC80V~264V范围内变化时，能正常工作</w:t>
            </w:r>
            <w:r>
              <w:br w:type="textWrapping"/>
            </w:r>
            <w:r>
              <w:t>15. 防护等级IP66</w:t>
            </w:r>
            <w:r>
              <w:br w:type="textWrapping"/>
            </w:r>
            <w:r>
              <w:t>16. 可外配光栅可有效减少周边光污染</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盏</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10</w:t>
            </w:r>
          </w:p>
        </w:tc>
        <w:tc>
          <w:tcPr>
            <w:tcW w:w="513"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卡口抓拍部分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9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4</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车道车检器</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支持8路线圈接入；</w:t>
            </w:r>
            <w:r>
              <w:br w:type="textWrapping"/>
            </w:r>
            <w:r>
              <w:t>2. 支持2路RS485，一路MINUSB接口</w:t>
            </w:r>
            <w:r>
              <w:br w:type="textWrapping"/>
            </w:r>
            <w:r>
              <w:t>3. 支持灵敏度及线圈频率可调；</w:t>
            </w:r>
            <w:r>
              <w:br w:type="textWrapping"/>
            </w:r>
            <w:r>
              <w:t>4. 支持红绿灯信号接入</w:t>
            </w:r>
            <w:r>
              <w:br w:type="textWrapping"/>
            </w:r>
            <w:r>
              <w:t>5. 最大响应时间：46±1.4ms；</w:t>
            </w:r>
            <w:r>
              <w:br w:type="textWrapping"/>
            </w:r>
            <w:r>
              <w:t>6. 支持线圈到达、离开抓拍</w:t>
            </w:r>
            <w:r>
              <w:br w:type="textWrapping"/>
            </w:r>
            <w:r>
              <w:t>7. 支持车辆行驶方向(正行、逆行)判断；</w:t>
            </w:r>
            <w:r>
              <w:br w:type="textWrapping"/>
            </w:r>
            <w:r>
              <w:t>8. 支持线圈状态检测；</w:t>
            </w:r>
            <w:r>
              <w:br w:type="textWrapping"/>
            </w:r>
            <w:r>
              <w:t>9. 捕获率不小于99%；</w:t>
            </w:r>
            <w:r>
              <w:br w:type="textWrapping"/>
            </w:r>
            <w:r>
              <w:t>10. 测速范围0～250KM/h，测速精度0～200KM/H时，－4%，200～250KM/H时，－6%</w:t>
            </w:r>
            <w:r>
              <w:br w:type="textWrapping"/>
            </w:r>
            <w:r>
              <w:t>11. 支持单线圈模式、双线圈模式、三线圈模式；</w:t>
            </w:r>
            <w:r>
              <w:br w:type="textWrapping"/>
            </w:r>
            <w:r>
              <w:t>12. 支持车辆到达、离开指示</w:t>
            </w:r>
            <w:r>
              <w:br w:type="textWrapping"/>
            </w:r>
            <w:r>
              <w:t>13. 支持交通参数显示</w:t>
            </w:r>
            <w:r>
              <w:br w:type="textWrapping"/>
            </w:r>
            <w:r>
              <w:t>14. 工作温度－30℃～70℃.</w:t>
            </w:r>
            <w:r>
              <w:br w:type="textWrapping"/>
            </w:r>
            <w:r>
              <w:t>15. DC12V供电</w:t>
            </w:r>
            <w:r>
              <w:br w:type="textWrapping"/>
            </w:r>
            <w:r>
              <w:t>16. 与抓拍机同一品 牌</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检测线圈（含线、路面开槽、沥青灌封）</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国产、定制</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个</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20</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8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6</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智能交通终端管理</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设备采用嵌入式Linux实时操作系统，内存容量≥1GB</w:t>
            </w:r>
            <w:r>
              <w:br w:type="textWrapping"/>
            </w:r>
            <w:r>
              <w:t>2. 配置≥8个10M/100M自适应RJ45接口、2个10M/100M/1000M自适应RJ45接口</w:t>
            </w:r>
            <w:r>
              <w:br w:type="textWrapping"/>
            </w:r>
            <w:r>
              <w:t>3. 配置≥2个RS-232接口、≥1个RS-485接口、≥1个VGA接口、≥2个USB接口、≥4路报警输入接口、≥4路报警输出接口、≥1个音频输入接口、≥1个音频输出接口、≥1个eSATA接口</w:t>
            </w:r>
            <w:r>
              <w:br w:type="textWrapping"/>
            </w:r>
            <w:r>
              <w:t>4. 可通过客户端软件搜索≥8个100兆网卡所连设备的IP地址</w:t>
            </w:r>
            <w:r>
              <w:br w:type="textWrapping"/>
            </w:r>
            <w:r>
              <w:t>5. 最多可接入12路IP摄像机(单路码率8M)</w:t>
            </w:r>
            <w:r>
              <w:br w:type="textWrapping"/>
            </w:r>
            <w:r>
              <w:t>6. 摄像机与客户端分别连接样机的不同网段时，客户端可以通过端口映射，跨网段直接访问摄像机，对摄像机进行操作（需提供在招标日期之前由公安部授权机构出具的检测报告复印件，原件备查)</w:t>
            </w:r>
            <w:r>
              <w:br w:type="textWrapping"/>
            </w:r>
            <w:r>
              <w:t>7. 从样机导出的录像和图片含有数字水印信息，可通过专用工具检测图片数据是否被篡改（需提供在招标日期之前由公安部授权机构出具的检测报告复印件，原件备查)</w:t>
            </w:r>
            <w:r>
              <w:br w:type="textWrapping"/>
            </w:r>
            <w:r>
              <w:t>8. 支持1块3.5英寸硬盘或2.5寸硬盘接入，最大兼容6TB硬盘</w:t>
            </w:r>
            <w:r>
              <w:br w:type="textWrapping"/>
            </w:r>
            <w:r>
              <w:t>9. 支持web、NTP、外置GPS模块方式校时</w:t>
            </w:r>
            <w:r>
              <w:br w:type="textWrapping"/>
            </w:r>
            <w:r>
              <w:t>10. 数据防删改功能：样机内的录像、图片文件无法直接删除或者修改（需提供在招标日期之前由公安部授权机构出具的检测报告复印件，原件备查)</w:t>
            </w:r>
            <w:r>
              <w:br w:type="textWrapping"/>
            </w:r>
            <w:r>
              <w:t>11. 工作温度-45℃~80℃</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卡口抓拍部分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7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7</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摄像机支架万向节</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定制，满足现场需求</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副</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8</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八角悬臂杆（含监控立杆、地笼铁件、浇筑C25混凝土）</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wordWrap w:val="0"/>
              <w:spacing w:before="0" w:beforeAutospacing="0" w:after="150" w:afterAutospacing="0"/>
              <w:ind w:left="0" w:right="0"/>
            </w:pPr>
            <w:r>
              <w:t>悬臂杆长7米（根据现场实际情况）：高6.8米；立柱底部Φ300mm,立柱顶部Φ250mm，立柱壁厚≥6mm；挑臂钢管末端Φ110mm，挑臂壁厚≥4mm；地笼铁件≥M24*8支*1200mm长；对角≥400mm,基础开挖尺寸≥长1.4米*宽1.4米*深1.6米</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根</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20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9</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智能机箱</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箱体规格：≥655mm（高）x 500mm （宽）x 250mm （深）；IP55</w:t>
            </w:r>
            <w:r>
              <w:br w:type="textWrapping"/>
            </w:r>
            <w:r>
              <w:t>2. 箱体材料：门板采用≥1.2mm厚度201不锈钢材料，机框采用≥1.0mm厚度201不锈钢材料；</w:t>
            </w:r>
            <w:r>
              <w:br w:type="textWrapping"/>
            </w:r>
            <w:r>
              <w:t>3. 箱体外观：顶部为斜坡设 计，喷塑；</w:t>
            </w:r>
            <w:r>
              <w:br w:type="textWrapping"/>
            </w:r>
            <w:r>
              <w:t>4. 内部设备：1、智能控制器：导轨式控制器，2个交流220V控制通道，2个12V直流控制通道；2、PDU：5位16A；3、开关电源：直流开关电源，输出电压12V，额定功率100W；4、模数化插座；5、24芯熔纤盘及光纤固定器；6、温控风扇：直流12V，92*92*25mm；7、接线端子若干8，维护插座1个；</w:t>
            </w:r>
            <w:r>
              <w:br w:type="textWrapping"/>
            </w:r>
            <w:r>
              <w:t>5. 支持过压、欠压、过流等保护功能，支持远程合闸和开闸，支持远程重合闸状态信息查询功能；</w:t>
            </w:r>
            <w:r>
              <w:br w:type="textWrapping"/>
            </w:r>
            <w:r>
              <w:t>6. 支持使用客户端远程连接设备、修改设备信息、导出设备信息等功能；</w:t>
            </w:r>
            <w:r>
              <w:br w:type="textWrapping"/>
            </w:r>
            <w:r>
              <w:t>7. 支持使用客户端对读取设备编号、设备名 称、IP地址，更新时间，同时监测在线状态、当前温湿度、风扇状态、门磁、防雷、温度告警信息。</w:t>
            </w:r>
            <w:r>
              <w:br w:type="textWrapping"/>
            </w:r>
            <w:r>
              <w:t>8. 当发生设备离线、温度、防雷、门磁告警时，能够自动生成工单，并手动审核通过后发生。</w:t>
            </w:r>
            <w:r>
              <w:br w:type="textWrapping"/>
            </w:r>
            <w:r>
              <w:t>9. 支持WEB或客户端软件对设备进行校时。（需提供在招标日期之前由公安部授权机构出具的检测报告复印件并加盖公章，原件备查）</w:t>
            </w:r>
            <w:r>
              <w:br w:type="textWrapping"/>
            </w:r>
            <w:r>
              <w:t>10. 支持在电子地图上标示设备位置，并直接在地图上反应设备告警信息。</w:t>
            </w:r>
            <w:r>
              <w:br w:type="textWrapping"/>
            </w:r>
            <w:r>
              <w:t>11. 支持WEB及客户端显示外接补光灯工作状态并设置补光灯定时/手动开启。</w:t>
            </w:r>
            <w:r>
              <w:br w:type="textWrapping"/>
            </w:r>
            <w:r>
              <w:t>12. 支持设备箱门开启后内部辅助照明灯亮起，支持箱门状态监测。可设置撤布防，可设置临时撤防时间，超过临时撤防时间后自动布防。当箱门开启后，将告警信息上传客户端。</w:t>
            </w:r>
            <w:r>
              <w:br w:type="textWrapping"/>
            </w:r>
            <w:r>
              <w:t>13. 客户端对弱密码、长期不更新等情况进行提醒，能够按弱、中、强、风险四级策略对设备密码强度进行检测。（需提供在招标日期之前由公安部授权机构出具的检测报告复印件并加盖公章，原件备查）</w:t>
            </w:r>
          </w:p>
          <w:p>
            <w:pPr>
              <w:pStyle w:val="12"/>
              <w:keepNext w:val="0"/>
              <w:keepLines w:val="0"/>
              <w:widowControl/>
              <w:suppressLineNumbers w:val="0"/>
              <w:spacing w:before="0" w:beforeAutospacing="0" w:after="150" w:afterAutospacing="0"/>
              <w:ind w:left="0" w:right="0"/>
            </w:pPr>
            <w:r>
              <w:t>14. 当设备箱内部温度超过设定值时风扇自动开启，低于设定值时风扇自动关闭。支持风扇单次运行时间统计和总运行时间统计。（需提供在招标日期之前由公安部授权机构出具的检测报告复印件并加盖公章，原件备查）</w:t>
            </w:r>
          </w:p>
          <w:p>
            <w:pPr>
              <w:pStyle w:val="12"/>
              <w:keepNext w:val="0"/>
              <w:keepLines w:val="0"/>
              <w:widowControl/>
              <w:suppressLineNumbers w:val="0"/>
              <w:spacing w:before="0" w:beforeAutospacing="0" w:after="150" w:afterAutospacing="0"/>
              <w:ind w:left="0" w:right="0"/>
            </w:pPr>
            <w:r>
              <w:t>15.支持箱体浸水告警功能，支持柜门状态检测，支持箱门打开告警。（需提供在招标日期之前由权威机构出具的检测报告复印件并加盖公章，原件备查）</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个</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10</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光纤收发器</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1.1口千兆光纤收发器，光口：1个千兆光口</w:t>
            </w:r>
          </w:p>
          <w:p>
            <w:pPr>
              <w:pStyle w:val="12"/>
              <w:keepNext w:val="0"/>
              <w:keepLines w:val="0"/>
              <w:widowControl/>
              <w:suppressLineNumbers w:val="0"/>
              <w:spacing w:before="0" w:beforeAutospacing="0" w:after="150" w:afterAutospacing="0"/>
              <w:ind w:left="0" w:right="0"/>
            </w:pPr>
            <w:r>
              <w:t>2. 距离20公里，FC口，单模单纤；</w:t>
            </w:r>
          </w:p>
          <w:p>
            <w:pPr>
              <w:pStyle w:val="12"/>
              <w:keepNext w:val="0"/>
              <w:keepLines w:val="0"/>
              <w:widowControl/>
              <w:suppressLineNumbers w:val="0"/>
              <w:spacing w:before="0" w:beforeAutospacing="0" w:after="150" w:afterAutospacing="0"/>
              <w:ind w:left="0" w:right="0"/>
            </w:pPr>
            <w:r>
              <w:t>3. 电口：1个千兆网口;</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对</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11</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百兆交换机</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1.8口百兆工业以太网交换机</w:t>
            </w:r>
          </w:p>
          <w:p>
            <w:pPr>
              <w:pStyle w:val="12"/>
              <w:keepNext w:val="0"/>
              <w:keepLines w:val="0"/>
              <w:widowControl/>
              <w:suppressLineNumbers w:val="0"/>
              <w:spacing w:before="0" w:beforeAutospacing="0" w:after="150" w:afterAutospacing="0"/>
              <w:ind w:left="0" w:right="0"/>
            </w:pPr>
            <w:r>
              <w:t>1. 电口：8个百兆电口；</w:t>
            </w:r>
          </w:p>
          <w:p>
            <w:pPr>
              <w:pStyle w:val="12"/>
              <w:keepNext w:val="0"/>
              <w:keepLines w:val="0"/>
              <w:widowControl/>
              <w:suppressLineNumbers w:val="0"/>
              <w:spacing w:before="0" w:beforeAutospacing="0" w:after="150" w:afterAutospacing="0"/>
              <w:ind w:left="0" w:right="0"/>
            </w:pPr>
            <w:r>
              <w:t>2. 安装方式：工业导轨式；</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个</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12</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网络线</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UTP-6E</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米</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400</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13</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摄像机电源线</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RVV 3*1.0</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米</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400</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14</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馈线</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RVVSP 2*1.5</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米</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800</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15</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主干电源引入（电力电表箱---监控杆多媒体内）</w:t>
            </w:r>
          </w:p>
        </w:tc>
        <w:tc>
          <w:tcPr>
            <w:tcW w:w="5707" w:type="dxa"/>
            <w:tcBorders>
              <w:top w:val="nil"/>
              <w:left w:val="nil"/>
              <w:bottom w:val="nil"/>
              <w:right w:val="nil"/>
            </w:tcBorders>
            <w:noWrap w:val="0"/>
            <w:tcMar>
              <w:bottom w:w="0" w:type="dxa"/>
            </w:tcMar>
            <w:vAlign w:val="top"/>
          </w:tcPr>
          <w:p>
            <w:pPr>
              <w:pStyle w:val="12"/>
              <w:keepNext w:val="0"/>
              <w:keepLines w:val="0"/>
              <w:widowControl/>
              <w:suppressLineNumbers w:val="0"/>
              <w:spacing w:before="0" w:beforeAutospacing="0" w:after="150" w:afterAutospacing="0"/>
              <w:ind w:left="0" w:right="0"/>
            </w:pPr>
            <w:r>
              <w:t>根据现场实际情况，含电力公司开表费用、电源线RVV3*2.5或RVV2*4、架空敷设PVC管及镀锌钢绞线、路面开挖及修复等</w:t>
            </w:r>
          </w:p>
        </w:tc>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处</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15" w:hRule="atLeast"/>
        </w:trPr>
        <w:tc>
          <w:tcPr>
            <w:tcW w:w="8336" w:type="dxa"/>
            <w:gridSpan w:val="6"/>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二、共享平台扩容升级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8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1118"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智能交通管理平台</w:t>
            </w:r>
          </w:p>
        </w:tc>
        <w:tc>
          <w:tcPr>
            <w:tcW w:w="5707" w:type="dxa"/>
            <w:tcBorders>
              <w:top w:val="single" w:color="000000" w:sz="6" w:space="0"/>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需可接入现有建宁县建设的卡口、红绿灯等设备；并包含授权、卡口、云图、车辆等模块，具有交警自动处罚功能（车辆违停、卡口测速抓拍、驾驶未带安全带、手机电话、抽烟，闯红灯抓拍、区间测速抓拍等自动监测及处罚）</w:t>
            </w:r>
          </w:p>
        </w:tc>
        <w:tc>
          <w:tcPr>
            <w:tcW w:w="29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513"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智能交通管控系统软件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5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2</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平台服务器</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机架式机箱设 计，全模块化设 计；</w:t>
            </w:r>
            <w:r>
              <w:br w:type="textWrapping"/>
            </w:r>
            <w:r>
              <w:t>2. 配置≥1颗4114,主频2.2GHz,十核心或更优；</w:t>
            </w:r>
            <w:r>
              <w:br w:type="textWrapping"/>
            </w:r>
            <w:r>
              <w:t>3. 配置≥32GB DDR4 ECC内存；支持支最大支持16个DIMM扩展插槽；</w:t>
            </w:r>
            <w:r>
              <w:br w:type="textWrapping"/>
            </w:r>
            <w:r>
              <w:t>4. 配置≥2个600G 热插拔SAS硬盘，集成SAS_HBA卡；</w:t>
            </w:r>
            <w:r>
              <w:br w:type="textWrapping"/>
            </w:r>
            <w:r>
              <w:t>5. 配置≥2个RJ45 千兆网口；</w:t>
            </w:r>
            <w:r>
              <w:br w:type="textWrapping"/>
            </w:r>
            <w:r>
              <w:t>6. 配置550W 1+1冗余电源；</w:t>
            </w:r>
            <w:r>
              <w:br w:type="textWrapping"/>
            </w:r>
            <w:r>
              <w:t>7. 集成BMC芯片，支持IPMI和KVM Over IP高级管理功能,需提供IPMI设备带外集中管理软件著作权证书复印件并加盖公章，原件备查；</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5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3</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数据库服务器</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机架式机箱设 计，全模块化设 计；</w:t>
            </w:r>
            <w:r>
              <w:br w:type="textWrapping"/>
            </w:r>
            <w:r>
              <w:t>2. 配置≥1颗4114,主频2.2GHz,十核心或更优；</w:t>
            </w:r>
            <w:r>
              <w:br w:type="textWrapping"/>
            </w:r>
            <w:r>
              <w:t>3. 配置≥32GB DDR4 ECC内存；支持支最大支持16个DIMM扩展插槽；</w:t>
            </w:r>
            <w:r>
              <w:br w:type="textWrapping"/>
            </w:r>
            <w:r>
              <w:t>4. 配置≥2个600G 热插拔SAS硬盘，集成SAS_HBA卡；</w:t>
            </w:r>
            <w:r>
              <w:br w:type="textWrapping"/>
            </w:r>
            <w:r>
              <w:t>5. 配置≥2个RJ45 千兆网口；</w:t>
            </w:r>
            <w:r>
              <w:br w:type="textWrapping"/>
            </w:r>
            <w:r>
              <w:t>6. 配置550W 1+1冗余电源；</w:t>
            </w:r>
            <w:r>
              <w:br w:type="textWrapping"/>
            </w:r>
            <w:r>
              <w:t>7. 集成BMC芯片，支持IPMI和KVM Over IP高级管理功能,需提供IPMI设备带外集中管理软件著作权证书复印件并加盖公章，原件备查；</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4</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视频监控查看终端</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wordWrap w:val="0"/>
              <w:spacing w:before="0" w:beforeAutospacing="0" w:after="150" w:afterAutospacing="0"/>
              <w:ind w:left="0" w:right="0"/>
            </w:pPr>
            <w:r>
              <w:t>1、CPU：≥ I5；</w:t>
            </w:r>
          </w:p>
          <w:p>
            <w:pPr>
              <w:pStyle w:val="12"/>
              <w:keepNext w:val="0"/>
              <w:keepLines w:val="0"/>
              <w:widowControl/>
              <w:suppressLineNumbers w:val="0"/>
              <w:wordWrap w:val="0"/>
              <w:spacing w:before="0" w:beforeAutospacing="0" w:after="150" w:afterAutospacing="0"/>
              <w:ind w:left="0" w:right="0"/>
            </w:pPr>
            <w:r>
              <w:t>2、内存：≥8GB DDR4；</w:t>
            </w:r>
          </w:p>
          <w:p>
            <w:pPr>
              <w:pStyle w:val="12"/>
              <w:keepNext w:val="0"/>
              <w:keepLines w:val="0"/>
              <w:widowControl/>
              <w:suppressLineNumbers w:val="0"/>
              <w:wordWrap w:val="0"/>
              <w:spacing w:before="0" w:beforeAutospacing="0" w:after="150" w:afterAutospacing="0"/>
              <w:ind w:left="0" w:right="0"/>
            </w:pPr>
            <w:r>
              <w:t>3、硬盘：≥128G固态硬盘+SATA 500G(7200转)；</w:t>
            </w:r>
          </w:p>
          <w:p>
            <w:pPr>
              <w:pStyle w:val="12"/>
              <w:keepNext w:val="0"/>
              <w:keepLines w:val="0"/>
              <w:widowControl/>
              <w:suppressLineNumbers w:val="0"/>
              <w:wordWrap w:val="0"/>
              <w:spacing w:before="0" w:beforeAutospacing="0" w:after="150" w:afterAutospacing="0"/>
              <w:ind w:left="0" w:right="0"/>
            </w:pPr>
            <w:r>
              <w:t>4、显卡：独立高清显卡；</w:t>
            </w:r>
          </w:p>
          <w:p>
            <w:pPr>
              <w:pStyle w:val="12"/>
              <w:keepNext w:val="0"/>
              <w:keepLines w:val="0"/>
              <w:widowControl/>
              <w:suppressLineNumbers w:val="0"/>
              <w:wordWrap w:val="0"/>
              <w:spacing w:before="0" w:beforeAutospacing="0" w:after="150" w:afterAutospacing="0"/>
              <w:ind w:left="0" w:right="0"/>
            </w:pPr>
            <w:r>
              <w:t>5、显示器：≥21.5寸液晶显示器（与电脑同一品 牌）</w:t>
            </w:r>
          </w:p>
          <w:p>
            <w:pPr>
              <w:pStyle w:val="12"/>
              <w:keepNext w:val="0"/>
              <w:keepLines w:val="0"/>
              <w:widowControl/>
              <w:suppressLineNumbers w:val="0"/>
              <w:wordWrap w:val="0"/>
              <w:spacing w:before="0" w:beforeAutospacing="0" w:after="150" w:afterAutospacing="0"/>
              <w:ind w:left="0" w:right="0"/>
            </w:pPr>
            <w:r>
              <w:t>6、声卡网卡：集成声卡，1000M网卡；</w:t>
            </w:r>
          </w:p>
          <w:p>
            <w:pPr>
              <w:pStyle w:val="12"/>
              <w:keepNext w:val="0"/>
              <w:keepLines w:val="0"/>
              <w:widowControl/>
              <w:suppressLineNumbers w:val="0"/>
              <w:wordWrap w:val="0"/>
              <w:spacing w:before="0" w:beforeAutospacing="0" w:after="150" w:afterAutospacing="0"/>
              <w:ind w:left="0" w:right="0"/>
            </w:pPr>
            <w:r>
              <w:t>7、键鼠：USB标准键盘鼠标；</w:t>
            </w:r>
          </w:p>
          <w:p>
            <w:pPr>
              <w:pStyle w:val="12"/>
              <w:keepNext w:val="0"/>
              <w:keepLines w:val="0"/>
              <w:widowControl/>
              <w:suppressLineNumbers w:val="0"/>
              <w:wordWrap w:val="0"/>
              <w:spacing w:before="0" w:beforeAutospacing="0" w:after="150" w:afterAutospacing="0"/>
              <w:ind w:left="0" w:right="0"/>
            </w:pPr>
            <w:r>
              <w:t>8、产品稳 定 性：所投产品平均无故障认证时间≥105W小时，投标时须提供国家电子计算机质量监督检验中心认证证书复印件证明；</w:t>
            </w:r>
          </w:p>
          <w:p>
            <w:pPr>
              <w:pStyle w:val="12"/>
              <w:keepNext w:val="0"/>
              <w:keepLines w:val="0"/>
              <w:widowControl/>
              <w:suppressLineNumbers w:val="0"/>
              <w:wordWrap w:val="0"/>
              <w:spacing w:before="0" w:beforeAutospacing="0" w:after="150" w:afterAutospacing="0"/>
              <w:ind w:left="0" w:right="0"/>
            </w:pPr>
            <w:r>
              <w:t>9、所投产品具有接口安全管理，可对USB端口访问进行管理，阻止非法用户将数据下载到USB存储装置内，投标明须提供所属该功能的有效证明材料和相关官方网站公布的网址链接、截图证明。</w:t>
            </w:r>
          </w:p>
          <w:p>
            <w:pPr>
              <w:pStyle w:val="12"/>
              <w:keepNext w:val="0"/>
              <w:keepLines w:val="0"/>
              <w:widowControl/>
              <w:suppressLineNumbers w:val="0"/>
              <w:wordWrap w:val="0"/>
              <w:spacing w:before="0" w:beforeAutospacing="0" w:after="150" w:afterAutospacing="0"/>
              <w:ind w:left="0" w:right="0"/>
            </w:pPr>
            <w:r>
              <w:t>10、所投设备具有虚拟写保护系统以及计算机系统中用于故障恢复的方法和设备，须提供所属该功能的有效证明材料和相关官方网站公布的网址链接、截图证明。</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10</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15" w:hRule="atLeast"/>
        </w:trPr>
        <w:tc>
          <w:tcPr>
            <w:tcW w:w="8336" w:type="dxa"/>
            <w:gridSpan w:val="6"/>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三、大数据应用及展示平台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21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1118"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车辆图片二次分析系统</w:t>
            </w:r>
          </w:p>
        </w:tc>
        <w:tc>
          <w:tcPr>
            <w:tcW w:w="5707" w:type="dxa"/>
            <w:tcBorders>
              <w:top w:val="single" w:color="000000" w:sz="6" w:space="0"/>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wordWrap w:val="0"/>
              <w:spacing w:before="0" w:beforeAutospacing="0" w:after="150" w:afterAutospacing="0"/>
              <w:ind w:left="0" w:right="0"/>
            </w:pPr>
            <w:r>
              <w:t>1. 接口：至少支持两块硬盘接口、4个千兆自适应网络接口、1个VGA接口、4个USB3.0接口和2个USB2.0接口；</w:t>
            </w:r>
            <w:r>
              <w:br w:type="textWrapping"/>
            </w:r>
            <w:r>
              <w:t>2. 背向车辆识别：支持背向车辆颜色、车辆类型、车辆子品 牌识别；</w:t>
            </w:r>
            <w:r>
              <w:br w:type="textWrapping"/>
            </w:r>
            <w:r>
              <w:t>3. 车牌类型识别：支持包括92式民用车牌，警用车牌，左右军车牌，02式个性化车牌,黄色双行尾牌,上下军车牌，04式新军车牌,使馆车牌,一行结构的新武警车牌,两行结构的新武警车牌,黄色1225农用车牌,绿色1325农用车牌,黄色1325农用车牌，摩托车，教练车牌识别，挂车车牌，领馆汽车牌，港澳台车牌，民航车牌识别；</w:t>
            </w:r>
            <w:r>
              <w:br w:type="textWrapping"/>
            </w:r>
            <w:r>
              <w:t>4. 车牌号码识别准确率：车牌号码识别白天准确率不低于98%，车牌号码识别晚上准确率不低于95%；</w:t>
            </w:r>
            <w:r>
              <w:br w:type="textWrapping"/>
            </w:r>
            <w:r>
              <w:t>5. 车牌颜色识别：支持五种以上车牌颜色的识别；</w:t>
            </w:r>
            <w:r>
              <w:br w:type="textWrapping"/>
            </w:r>
            <w:r>
              <w:t>6. 车牌颜色识别准确率：车牌颜色识别白天准确率不低于97%；车牌颜色识别晚上准确率不低于95%；</w:t>
            </w:r>
            <w:r>
              <w:br w:type="textWrapping"/>
            </w:r>
            <w:r>
              <w:t>7. 无车牌识别：支持无车牌车辆的识别；</w:t>
            </w:r>
            <w:r>
              <w:br w:type="textWrapping"/>
            </w:r>
            <w:r>
              <w:t>8. 无牌车识别准确率：无牌车识别白天准确率不低于95%；无牌车识别晚上准确率不低于90%；</w:t>
            </w:r>
            <w:r>
              <w:br w:type="textWrapping"/>
            </w:r>
            <w:r>
              <w:t>9. 车辆颜色识别：支持11种以上车身颜色识别；</w:t>
            </w:r>
          </w:p>
          <w:p>
            <w:pPr>
              <w:pStyle w:val="12"/>
              <w:keepNext w:val="0"/>
              <w:keepLines w:val="0"/>
              <w:widowControl/>
              <w:suppressLineNumbers w:val="0"/>
              <w:wordWrap w:val="0"/>
              <w:spacing w:before="0" w:beforeAutospacing="0" w:after="150" w:afterAutospacing="0"/>
              <w:ind w:left="0" w:right="0"/>
            </w:pPr>
            <w:r>
              <w:t>10. 车辆颜色识别准确率：车辆颜色识别白天正向准确率不低于95%，车辆颜色识别白天背向准确率不低于92%，车辆颜色识别晚上正向准确率不低于93%，车辆颜色识别晚上背向准确率不低于90%；（需提供在招标日期之前由公安部授权机构出具的检测报告复印件，原件备查）</w:t>
            </w:r>
            <w:r>
              <w:br w:type="textWrapping"/>
            </w:r>
            <w:r>
              <w:t>11. 车辆类型识别：支持8种以上机动车以及非机动车的识别；</w:t>
            </w:r>
          </w:p>
          <w:p>
            <w:pPr>
              <w:pStyle w:val="12"/>
              <w:keepNext w:val="0"/>
              <w:keepLines w:val="0"/>
              <w:widowControl/>
              <w:suppressLineNumbers w:val="0"/>
              <w:wordWrap w:val="0"/>
              <w:spacing w:before="0" w:beforeAutospacing="0" w:after="150" w:afterAutospacing="0"/>
              <w:ind w:left="0" w:right="0"/>
            </w:pPr>
            <w:r>
              <w:t>12. 车辆类型识别准确率：车辆类型识别白天正向准确率不低于97%，车辆类型识别白天背向准确率不低于95%，车辆类型识别晚上正向准确率不低于95%，车辆类型识别晚上背向准确率不低于90%；车辆品 牌识别：支持不少于260种机动车车辆品 牌的识别（正向），支持不少于200种机动车车辆品 牌的识别（背向）；（需提供在招标日期之前由公安部授权机构出具的检测报告复印件，原件备查）</w:t>
            </w:r>
            <w:r>
              <w:br w:type="textWrapping"/>
            </w:r>
            <w:r>
              <w:t>13. 车辆品 牌识别准确率：车辆品 牌识别白天正向准确率不低于98%，车辆品 牌识别白天背向准确率不低于97%，车辆品 牌识别晚上正向准确率不低于95%，车辆品 牌识别晚上背向准确率不低于95%；车辆子品 牌识别：支持不少于5300种车辆子品 牌和年款的识别（正向），支持不少于2800种车辆子品 牌和年款的识别（背向）；</w:t>
            </w:r>
            <w:r>
              <w:br w:type="textWrapping"/>
            </w:r>
            <w:r>
              <w:t>14. 车辆子品 牌识别准确率：车辆品 牌识别白天正向准确率不低于95%，车辆品 牌识别白天背向准确率不低于93%，车辆品 牌识别晚上正向准确率不低于92%，车辆品 牌识别晚上背向准确率不低于92%；</w:t>
            </w:r>
            <w:r>
              <w:br w:type="textWrapping"/>
            </w:r>
            <w:r>
              <w:t>15. 主驾驶安全带检测：支持主驾驶未系安全带检测识别；主驾驶安全带检测准确率：主驾驶未系安全带检测白天准确率不低于90%，主驾驶未系安全带检测晚上准确率不低于90%；</w:t>
            </w:r>
            <w:r>
              <w:br w:type="textWrapping"/>
            </w:r>
            <w:r>
              <w:t>16. 副驾驶安全带检测：支持副驾驶未系安全带检测识别；副驾驶安全带检测准确率：副驾驶未系安全带检测白天准确率不低于90%，副驾驶未系安全带检测晚上准确率不低于90%；</w:t>
            </w:r>
            <w:r>
              <w:br w:type="textWrapping"/>
            </w:r>
            <w:r>
              <w:t>17. 主驾驶遮阳板检测：支持主驾驶遮阳板打开检测识别；主驾驶遮阳板检测准确率：主遮阳板打开检测准确率不低于93%；</w:t>
            </w:r>
            <w:r>
              <w:br w:type="textWrapping"/>
            </w:r>
            <w:r>
              <w:t>18. 打手机检测：支持驾驶人打手机检测识别；打手机检测准确率：打手机检测准确率不低于94%；</w:t>
            </w:r>
            <w:r>
              <w:br w:type="textWrapping"/>
            </w:r>
            <w:r>
              <w:t>19. 天窗站人检测：支持车辆天窗站人检测识别；</w:t>
            </w:r>
            <w:r>
              <w:br w:type="textWrapping"/>
            </w:r>
            <w:r>
              <w:t>20. 车辆建模功能：支持对图片中的正向车辆进行以图搜图建模功能，支持对图片中的背向车辆进行以图搜图建模功能；</w:t>
            </w:r>
            <w:r>
              <w:br w:type="textWrapping"/>
            </w:r>
            <w:r>
              <w:t>21. 以图搜图功能：支持以图搜车功能，上传车辆的图片，比对后可输出达到设定相似度的过车图片。</w:t>
            </w:r>
            <w:r>
              <w:br w:type="textWrapping"/>
            </w:r>
            <w:r>
              <w:t>22.车辆以图搜图：支持车辆图片以图搜图功能，正向车辆以图搜图前5个出现目标车辆的命中率不低于97%，正向车辆以图搜图前10个出现目标车辆的命中率不低于98%，背向车辆以图搜图前5个出现目标车辆的命中率不低于94%，背向车辆以图搜图前10个出现目标车辆的命中率不低于97%；（需提供在招标日期之前由公安部授权机构出具的检测报告复印件，原件备查）</w:t>
            </w:r>
            <w:r>
              <w:br w:type="textWrapping"/>
            </w:r>
            <w:r>
              <w:t>23. 特征搜车功能：支持特征搜车功能，上传车辆的图片并选定特征区域，比对后可输出达到设定相似度的过车图片；</w:t>
            </w:r>
            <w:r>
              <w:br w:type="textWrapping"/>
            </w:r>
            <w:r>
              <w:t>24. 一图多车识别：支持识别一张图片中的多辆车辆信息；</w:t>
            </w:r>
          </w:p>
          <w:p>
            <w:pPr>
              <w:pStyle w:val="12"/>
              <w:keepNext w:val="0"/>
              <w:keepLines w:val="0"/>
              <w:widowControl/>
              <w:suppressLineNumbers w:val="0"/>
              <w:wordWrap w:val="0"/>
              <w:spacing w:before="0" w:beforeAutospacing="0" w:after="150" w:afterAutospacing="0"/>
              <w:ind w:left="0" w:right="0"/>
            </w:pPr>
            <w:r>
              <w:rPr>
                <w:rFonts w:hint="eastAsia" w:ascii="宋体" w:hAnsi="宋体" w:eastAsia="宋体" w:cs="宋体"/>
                <w:sz w:val="21"/>
                <w:szCs w:val="21"/>
              </w:rPr>
              <w:t>▲</w:t>
            </w:r>
            <w:r>
              <w:t>25. 处理速度：图片处理速度不低于4万张/小时；支持单台设备分别存储不少于1.5亿条结构化信息和模型数据；（需提供在招标日期之前由公安部授权机构出具的检测报告复印件，原件备查） </w:t>
            </w:r>
            <w:r>
              <w:br w:type="textWrapping"/>
            </w:r>
            <w:r>
              <w:t>26. 处理能力：支持900万像素及以下图片的结构化处理；</w:t>
            </w:r>
            <w:r>
              <w:br w:type="textWrapping"/>
            </w:r>
            <w:r>
              <w:t>27. 支持集群功能：支持设备集群运行；</w:t>
            </w:r>
            <w:r>
              <w:br w:type="textWrapping"/>
            </w:r>
            <w:r>
              <w:t>28. 新能源汽车专用号牌检测</w:t>
            </w:r>
            <w:r>
              <w:br w:type="textWrapping"/>
            </w:r>
            <w:r>
              <w:t>29. 单机分析功能：支持本地导入车辆图片进行分析、检索、以图搜图的功能；</w:t>
            </w:r>
          </w:p>
        </w:tc>
        <w:tc>
          <w:tcPr>
            <w:tcW w:w="29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513" w:type="dxa"/>
            <w:tcBorders>
              <w:top w:val="single" w:color="000000" w:sz="6" w:space="0"/>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770"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2</w:t>
            </w:r>
          </w:p>
        </w:tc>
        <w:tc>
          <w:tcPr>
            <w:tcW w:w="1118"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大数据应用</w:t>
            </w:r>
          </w:p>
        </w:tc>
        <w:tc>
          <w:tcPr>
            <w:tcW w:w="5707" w:type="dxa"/>
            <w:tcBorders>
              <w:top w:val="nil"/>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1. 2*E52630V3，256G内存，4个千兆，7*480GSSD+2*4TSATA，1+1冗余电源</w:t>
            </w:r>
            <w:r>
              <w:br w:type="textWrapping"/>
            </w:r>
            <w:r>
              <w:t>2. 支持20亿车辆模型存储和分析，支持每日增量数据300W</w:t>
            </w:r>
            <w:r>
              <w:br w:type="textWrapping"/>
            </w:r>
            <w:r>
              <w:t>3. 支持20亿并发精确和模糊查询小于3秒</w:t>
            </w:r>
            <w:r>
              <w:br w:type="textWrapping"/>
            </w:r>
            <w:r>
              <w:t>4. 支持10亿以图搜图</w:t>
            </w:r>
            <w:r>
              <w:br w:type="textWrapping"/>
            </w:r>
            <w:r>
              <w:t>5. 为保证系统的兼容性，需与车辆图片二次分析系统同一品 牌。</w:t>
            </w:r>
          </w:p>
        </w:tc>
        <w:tc>
          <w:tcPr>
            <w:tcW w:w="297"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台</w:t>
            </w:r>
          </w:p>
        </w:tc>
        <w:tc>
          <w:tcPr>
            <w:tcW w:w="404" w:type="dxa"/>
            <w:tcBorders>
              <w:top w:val="nil"/>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513" w:type="dxa"/>
            <w:tcBorders>
              <w:top w:val="nil"/>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80" w:hRule="atLeast"/>
        </w:trPr>
        <w:tc>
          <w:tcPr>
            <w:tcW w:w="8336" w:type="dxa"/>
            <w:gridSpan w:val="6"/>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四、摄像机线路接入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15" w:hRule="atLeast"/>
        </w:trPr>
        <w:tc>
          <w:tcPr>
            <w:tcW w:w="297" w:type="dxa"/>
            <w:tcBorders>
              <w:top w:val="nil"/>
              <w:left w:val="single" w:color="000000" w:sz="6" w:space="0"/>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1</w:t>
            </w:r>
          </w:p>
        </w:tc>
        <w:tc>
          <w:tcPr>
            <w:tcW w:w="1118"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前端监控点位链路租赁（核心产品）</w:t>
            </w:r>
          </w:p>
        </w:tc>
        <w:tc>
          <w:tcPr>
            <w:tcW w:w="5707" w:type="dxa"/>
            <w:tcBorders>
              <w:top w:val="single" w:color="000000" w:sz="6" w:space="0"/>
              <w:left w:val="nil"/>
              <w:bottom w:val="single" w:color="000000" w:sz="6" w:space="0"/>
              <w:right w:val="single" w:color="000000" w:sz="6" w:space="0"/>
            </w:tcBorders>
            <w:noWrap w:val="0"/>
            <w:tcMar>
              <w:bottom w:w="0" w:type="dxa"/>
            </w:tcMar>
            <w:vAlign w:val="top"/>
          </w:tcPr>
          <w:p>
            <w:pPr>
              <w:pStyle w:val="12"/>
              <w:keepNext w:val="0"/>
              <w:keepLines w:val="0"/>
              <w:widowControl/>
              <w:suppressLineNumbers w:val="0"/>
              <w:spacing w:before="0" w:beforeAutospacing="0" w:after="150" w:afterAutospacing="0"/>
              <w:ind w:left="0" w:right="0"/>
            </w:pPr>
            <w:r>
              <w:t>20M前端点位链路（五年）</w:t>
            </w:r>
          </w:p>
        </w:tc>
        <w:tc>
          <w:tcPr>
            <w:tcW w:w="297"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链路</w:t>
            </w:r>
          </w:p>
        </w:tc>
        <w:tc>
          <w:tcPr>
            <w:tcW w:w="404" w:type="dxa"/>
            <w:tcBorders>
              <w:top w:val="single" w:color="000000" w:sz="6" w:space="0"/>
              <w:left w:val="nil"/>
              <w:bottom w:val="single" w:color="000000" w:sz="6" w:space="0"/>
              <w:right w:val="single" w:color="000000" w:sz="6" w:space="0"/>
            </w:tcBorders>
            <w:noWrap w:val="0"/>
            <w:tcMar>
              <w:bottom w:w="0" w:type="dxa"/>
            </w:tcMar>
            <w:vAlign w:val="center"/>
          </w:tcPr>
          <w:p>
            <w:pPr>
              <w:pStyle w:val="12"/>
              <w:keepNext w:val="0"/>
              <w:keepLines w:val="0"/>
              <w:widowControl/>
              <w:suppressLineNumbers w:val="0"/>
              <w:spacing w:before="0" w:beforeAutospacing="0" w:after="150" w:afterAutospacing="0"/>
              <w:ind w:left="0" w:right="0"/>
            </w:pPr>
            <w:r>
              <w:t>5</w:t>
            </w:r>
          </w:p>
        </w:tc>
        <w:tc>
          <w:tcPr>
            <w:tcW w:w="513" w:type="dxa"/>
            <w:tcBorders>
              <w:top w:val="single" w:color="000000" w:sz="6" w:space="0"/>
              <w:left w:val="nil"/>
              <w:bottom w:val="single" w:color="000000" w:sz="6" w:space="0"/>
              <w:right w:val="single" w:color="000000" w:sz="6" w:space="0"/>
            </w:tcBorders>
            <w:noWrap w:val="0"/>
            <w:tcMar>
              <w:bottom w:w="0" w:type="dxa"/>
            </w:tcMar>
            <w:vAlign w:val="center"/>
          </w:tcPr>
          <w:p>
            <w:pPr>
              <w:keepNext w:val="0"/>
              <w:keepLines w:val="0"/>
              <w:widowControl/>
              <w:suppressLineNumbers w:val="0"/>
              <w:jc w:val="left"/>
            </w:pPr>
          </w:p>
        </w:tc>
      </w:tr>
    </w:tbl>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其他要求：</w:t>
      </w:r>
    </w:p>
    <w:tbl>
      <w:tblPr>
        <w:tblStyle w:val="13"/>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55"/>
        <w:gridCol w:w="58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(二)产品性能和功能：投标人需提供相关证明材料复印件，原件备查</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所投产品支持支持静态路由、RIP、RIPng、OSPF、BGP等，提供权威第三方测试报告。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所投产品支持纵向虚拟化，作为纵向子节点零配置即插即用，提供权威第三方测试报告。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所投产品支持G.8032以太环保护协议，提供权威第三方测试报告。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所投品目号2-2产品支持流量分析SFlow/ipfix,支持网络质量分析NQA, 提供官方网站链接和含链接截图；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45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588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所投品目号2-2产品支持SmartLink树型拓朴和SmartLink多实例，提供主备链路的毫秒级保护,支持智能以太保护SEP协议，提供官方网站链接和含链接截图</w:t>
            </w:r>
          </w:p>
        </w:tc>
      </w:tr>
    </w:tbl>
    <w:p>
      <w:pPr>
        <w:pStyle w:val="3"/>
      </w:pPr>
      <w:bookmarkStart w:id="5" w:name="_Toc513644002"/>
      <w:r>
        <w:t>三、商务条件（以下内容不允许负偏离）</w:t>
      </w:r>
      <w:bookmarkEnd w:id="5"/>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包：1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left"/>
              <w:rPr>
                <w:rFonts w:ascii="宋体" w:hAnsi="宋体" w:eastAsia="宋体" w:cs="宋体"/>
                <w:kern w:val="0"/>
                <w:sz w:val="24"/>
                <w:szCs w:val="24"/>
              </w:rPr>
            </w:pPr>
            <w:r>
              <w:rPr>
                <w:rFonts w:ascii="宋体" w:hAnsi="宋体" w:eastAsia="宋体" w:cs="宋体"/>
                <w:kern w:val="0"/>
                <w:sz w:val="24"/>
                <w:szCs w:val="24"/>
              </w:rPr>
              <w:t>产品厂商的资质、供货及履约能力1.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所投产品厂商具备强大的自主技术创新、科技研发能力，获得国家级部门颁发的科学技术进步一等奖证书，</w:t>
            </w:r>
            <w:r>
              <w:rPr>
                <w:rFonts w:hint="eastAsia" w:ascii="宋体" w:hAnsi="宋体" w:eastAsia="宋体" w:cs="宋体"/>
                <w:kern w:val="0"/>
                <w:sz w:val="24"/>
                <w:szCs w:val="24"/>
              </w:rPr>
              <w:t>并</w:t>
            </w:r>
            <w:r>
              <w:rPr>
                <w:rFonts w:ascii="宋体" w:hAnsi="宋体" w:eastAsia="宋体" w:cs="宋体"/>
                <w:kern w:val="0"/>
                <w:sz w:val="24"/>
                <w:szCs w:val="24"/>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所投产品厂商获得ISO 9000系列质量管理认证、ISO 14000系列环境体系认证、ISO 20000 IT服务管理体系认证、ISO 27001 信息安全管理体系认证，需提供证明文件。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所投产品厂商具有良好的技术实力，拥有国家高效能服务器和存储技术重点实验室，并提供证明文件。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所投产品厂商具有良好的技术研究能力，拥有国家信息存储工程技术研究中心，并提供证明文件。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售后服务情况1.</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所投产品能提供厂商原产工程师免费上门服务并提供售后服务承诺函原件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681" w:type="dxa"/>
          </w:tcPr>
          <w:p>
            <w:pPr>
              <w:widowControl/>
              <w:jc w:val="left"/>
              <w:rPr>
                <w:rFonts w:ascii="宋体" w:hAnsi="宋体" w:eastAsia="宋体" w:cs="宋体"/>
                <w:kern w:val="0"/>
                <w:sz w:val="24"/>
                <w:szCs w:val="24"/>
              </w:rPr>
            </w:pPr>
            <w:r>
              <w:rPr>
                <w:rFonts w:ascii="宋体" w:hAnsi="宋体" w:eastAsia="宋体" w:cs="宋体"/>
                <w:kern w:val="0"/>
                <w:sz w:val="24"/>
                <w:szCs w:val="24"/>
              </w:rPr>
              <w:t>为确保项目正常运行，对于投标人要求售后服务有本地保障能力：投标人或其分支机构设在项目所在地，并年限3年以上的（提供营业执照复印件）</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1" w:type="dxa"/>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681" w:type="dxa"/>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w:t>
            </w:r>
            <w:r>
              <w:rPr>
                <w:rFonts w:ascii="宋体" w:hAnsi="宋体" w:eastAsia="宋体" w:cs="宋体"/>
                <w:kern w:val="0"/>
                <w:sz w:val="24"/>
                <w:szCs w:val="24"/>
              </w:rPr>
              <w:t>投标产品厂家质保期的长短、保修范围、提供免费配件，故障响应时间等的情况</w:t>
            </w:r>
            <w:r>
              <w:rPr>
                <w:rFonts w:hint="eastAsia" w:ascii="宋体" w:hAnsi="宋体" w:eastAsia="宋体" w:cs="宋体"/>
                <w:kern w:val="0"/>
                <w:sz w:val="24"/>
                <w:szCs w:val="24"/>
              </w:rPr>
              <w:t>具体说明。</w:t>
            </w:r>
          </w:p>
        </w:tc>
      </w:tr>
    </w:tbl>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hint="eastAsia" w:ascii="宋体" w:hAnsi="宋体" w:eastAsia="宋体" w:cs="宋体"/>
          <w:kern w:val="0"/>
          <w:sz w:val="24"/>
          <w:szCs w:val="24"/>
        </w:rPr>
      </w:pPr>
      <w:r>
        <w:rPr>
          <w:rFonts w:ascii="宋体" w:hAnsi="宋体" w:eastAsia="宋体" w:cs="宋体"/>
          <w:bCs/>
          <w:kern w:val="0"/>
          <w:sz w:val="24"/>
          <w:szCs w:val="24"/>
        </w:rPr>
        <w:br w:type="textWrapping"/>
      </w:r>
      <w:r>
        <w:rPr>
          <w:rFonts w:hint="eastAsia" w:ascii="宋体" w:hAnsi="宋体" w:eastAsia="宋体" w:cs="宋体"/>
          <w:kern w:val="0"/>
          <w:sz w:val="24"/>
          <w:szCs w:val="24"/>
        </w:rPr>
        <w:t>1、交付地点：福建省三明市建宁县业主指定地点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2、交付时间：合同签订后 ( 60) 天内交货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3、交付条件：货物到达现场后，由双方共同进行基本质量和数量检验合格即为现场交货。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4、是否收取履约保证金：否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5、是否邀请投标人参与验收：否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6、验收方式数据表格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由使用部门按照招标文件要求进行验收</w:t>
            </w:r>
          </w:p>
        </w:tc>
      </w:tr>
    </w:tbl>
    <w:p>
      <w:pPr>
        <w:widowControl/>
        <w:shd w:val="clear" w:color="auto" w:fill="FFFFFF"/>
        <w:spacing w:line="360" w:lineRule="auto"/>
        <w:jc w:val="center"/>
        <w:rPr>
          <w:rFonts w:ascii="宋体" w:hAnsi="宋体" w:eastAsia="宋体" w:cs="宋体"/>
          <w:bCs/>
          <w:kern w:val="0"/>
          <w:sz w:val="24"/>
          <w:szCs w:val="24"/>
        </w:rPr>
      </w:pPr>
      <w:r>
        <w:rPr>
          <w:rFonts w:ascii="宋体" w:hAnsi="宋体" w:eastAsia="宋体" w:cs="宋体"/>
          <w:bCs/>
          <w:kern w:val="0"/>
          <w:sz w:val="24"/>
          <w:szCs w:val="24"/>
        </w:rPr>
        <w:t>7、支付方式数据表格</w:t>
      </w:r>
    </w:p>
    <w:tbl>
      <w:tblPr>
        <w:tblStyle w:val="13"/>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支付比例(%)</w:t>
            </w: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66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p>
        </w:tc>
        <w:tc>
          <w:tcPr>
            <w:tcW w:w="499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合同签订后，7日内付和同总金额的50%，工程安装调试验收后，付总金额的45%，剩余的5%作为质保金，在第五年无质量问题一次性付清。</w:t>
            </w:r>
          </w:p>
        </w:tc>
      </w:tr>
    </w:tbl>
    <w:p>
      <w:pPr>
        <w:widowControl/>
        <w:jc w:val="left"/>
        <w:rPr>
          <w:rFonts w:ascii="宋体" w:hAnsi="宋体" w:eastAsia="宋体" w:cs="宋体"/>
          <w:b/>
          <w:bCs/>
          <w:kern w:val="36"/>
          <w:sz w:val="48"/>
          <w:szCs w:val="48"/>
        </w:rPr>
      </w:pPr>
      <w:r>
        <w:br w:type="page"/>
      </w:r>
    </w:p>
    <w:p>
      <w:pPr>
        <w:pStyle w:val="2"/>
        <w:ind w:firstLine="1446" w:firstLineChars="300"/>
      </w:pPr>
      <w:bookmarkStart w:id="6" w:name="_Toc513644003"/>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513644004"/>
      <w:r>
        <w:rPr>
          <w:rFonts w:cs="Calibri"/>
        </w:rPr>
        <w:t>一</w:t>
      </w:r>
      <w:r>
        <w:t>、投标函</w:t>
      </w:r>
      <w:bookmarkEnd w:id="7"/>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513644005"/>
      <w:r>
        <w:rPr>
          <w:rFonts w:hint="eastAsia"/>
        </w:rPr>
        <w:t>二</w:t>
      </w:r>
      <w:r>
        <w:t>、报价表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3"/>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513644006"/>
      <w:r>
        <w:rPr>
          <w:rFonts w:hint="eastAsia"/>
        </w:rPr>
        <w:t>三、资格证明文件</w:t>
      </w:r>
      <w:bookmarkEnd w:id="9"/>
    </w:p>
    <w:p>
      <w:pPr>
        <w:pStyle w:val="4"/>
      </w:pPr>
      <w:bookmarkStart w:id="10" w:name="_Toc513644007"/>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51364400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513644009"/>
      <w:r>
        <w:rPr>
          <w:rFonts w:hint="eastAsia"/>
        </w:rPr>
        <w:t>四</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513644010"/>
      <w:r>
        <w:rPr>
          <w:rFonts w:hint="eastAsia"/>
        </w:rPr>
        <w:t>五</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3"/>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513644011"/>
      <w:r>
        <w:rPr>
          <w:rFonts w:hint="eastAsia"/>
        </w:rPr>
        <w:t>六</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b/>
          <w:bCs/>
          <w:kern w:val="0"/>
          <w:sz w:val="24"/>
          <w:szCs w:val="24"/>
        </w:rPr>
      </w:pPr>
    </w:p>
    <w:p>
      <w:pPr>
        <w:widowControl/>
        <w:shd w:val="clear" w:color="auto" w:fill="FFFFFF"/>
        <w:spacing w:line="360" w:lineRule="auto"/>
        <w:ind w:right="420" w:firstLine="482" w:firstLineChars="200"/>
        <w:jc w:val="left"/>
        <w:rPr>
          <w:rFonts w:ascii="宋体" w:hAnsi="宋体" w:eastAsia="宋体" w:cs="宋体"/>
          <w:b/>
          <w:bCs/>
          <w:color w:val="FFFFFF" w:themeColor="background1"/>
          <w:kern w:val="0"/>
          <w:sz w:val="24"/>
          <w:szCs w:val="24"/>
          <w:highlight w:val="lightGray"/>
          <w14:textFill>
            <w14:solidFill>
              <w14:schemeClr w14:val="bg1"/>
            </w14:solidFill>
          </w14:textFill>
        </w:rPr>
      </w:pPr>
      <w:r>
        <w:rPr>
          <w:rFonts w:hint="eastAsia" w:ascii="宋体" w:hAnsi="宋体" w:eastAsia="宋体" w:cs="宋体"/>
          <w:b/>
          <w:bCs/>
          <w:color w:val="FFFFFF" w:themeColor="background1"/>
          <w:kern w:val="0"/>
          <w:sz w:val="24"/>
          <w:szCs w:val="24"/>
          <w:highlight w:val="lightGray"/>
          <w14:textFill>
            <w14:solidFill>
              <w14:schemeClr w14:val="bg1"/>
            </w14:solidFill>
          </w14:textFill>
        </w:rPr>
        <w:t>本次项目若我司中标，我司承诺按如下要求提供售后服务：</w:t>
      </w:r>
    </w:p>
    <w:p>
      <w:pPr>
        <w:widowControl/>
        <w:shd w:val="clear" w:color="auto" w:fill="FFFFFF"/>
        <w:spacing w:line="360" w:lineRule="auto"/>
        <w:ind w:right="420"/>
        <w:jc w:val="left"/>
        <w:rPr>
          <w:rFonts w:ascii="宋体" w:hAnsi="宋体" w:eastAsia="宋体" w:cs="宋体"/>
          <w:b/>
          <w:bCs/>
          <w:color w:val="FFFFFF" w:themeColor="background1"/>
          <w:kern w:val="0"/>
          <w:sz w:val="24"/>
          <w:szCs w:val="24"/>
          <w:highlight w:val="lightGray"/>
          <w:shd w:val="clear" w:color="auto" w:fill="auto"/>
          <w14:textFill>
            <w14:solidFill>
              <w14:schemeClr w14:val="bg1"/>
            </w14:solidFill>
          </w14:textFill>
        </w:rPr>
      </w:pPr>
      <w:r>
        <w:rPr>
          <w:rFonts w:hint="eastAsia" w:ascii="宋体" w:hAnsi="宋体" w:eastAsia="宋体" w:cs="宋体"/>
          <w:b/>
          <w:bCs/>
          <w:color w:val="FFFFFF" w:themeColor="background1"/>
          <w:kern w:val="0"/>
          <w:sz w:val="24"/>
          <w:szCs w:val="24"/>
          <w:highlight w:val="lightGray"/>
          <w14:textFill>
            <w14:solidFill>
              <w14:schemeClr w14:val="bg1"/>
            </w14:solidFill>
          </w14:textFill>
        </w:rPr>
        <w:t>一、</w:t>
      </w:r>
      <w:r>
        <w:rPr>
          <w:rFonts w:hint="eastAsia" w:ascii="宋体" w:hAnsi="宋体" w:eastAsia="宋体" w:cs="宋体"/>
          <w:b/>
          <w:bCs/>
          <w:color w:val="FFFFFF" w:themeColor="background1"/>
          <w:kern w:val="0"/>
          <w:sz w:val="24"/>
          <w:szCs w:val="24"/>
          <w:highlight w:val="lightGray"/>
          <w:shd w:val="clear" w:color="auto" w:fill="auto"/>
          <w14:textFill>
            <w14:solidFill>
              <w14:schemeClr w14:val="bg1"/>
            </w14:solidFill>
          </w14:textFill>
        </w:rPr>
        <w:t>【按不低于业主要求我司提供的售后服务标准列出】</w:t>
      </w:r>
    </w:p>
    <w:p>
      <w:pPr>
        <w:widowControl/>
        <w:shd w:val="clear" w:color="auto" w:fill="FFFFFF"/>
        <w:spacing w:line="360" w:lineRule="auto"/>
        <w:ind w:right="420"/>
        <w:jc w:val="left"/>
        <w:rPr>
          <w:rFonts w:ascii="宋体" w:hAnsi="宋体" w:eastAsia="宋体" w:cs="宋体"/>
          <w:b/>
          <w:bCs/>
          <w:color w:val="FFFFFF" w:themeColor="background1"/>
          <w:kern w:val="0"/>
          <w:sz w:val="24"/>
          <w:szCs w:val="24"/>
          <w:highlight w:val="lightGray"/>
          <w:shd w:val="clear" w:color="auto" w:fill="auto"/>
          <w14:textFill>
            <w14:solidFill>
              <w14:schemeClr w14:val="bg1"/>
            </w14:solidFill>
          </w14:textFill>
        </w:rPr>
      </w:pPr>
      <w:r>
        <w:rPr>
          <w:rFonts w:hint="eastAsia" w:ascii="宋体" w:hAnsi="宋体" w:eastAsia="宋体" w:cs="宋体"/>
          <w:b/>
          <w:bCs/>
          <w:color w:val="FFFFFF" w:themeColor="background1"/>
          <w:kern w:val="0"/>
          <w:sz w:val="24"/>
          <w:szCs w:val="24"/>
          <w:highlight w:val="lightGray"/>
          <w:shd w:val="clear" w:color="auto" w:fill="auto"/>
          <w14:textFill>
            <w14:solidFill>
              <w14:schemeClr w14:val="bg1"/>
            </w14:solidFill>
          </w14:textFill>
        </w:rPr>
        <w:t>二、中标后按要求向贵司提供项目所需相关佐证材料。</w:t>
      </w:r>
      <w:bookmarkStart w:id="15" w:name="_GoBack"/>
      <w:bookmarkEnd w:id="15"/>
    </w:p>
    <w:p>
      <w:pPr>
        <w:widowControl/>
        <w:shd w:val="clear" w:color="auto" w:fill="FFFFFF"/>
        <w:spacing w:line="360" w:lineRule="auto"/>
        <w:ind w:right="420"/>
        <w:jc w:val="left"/>
        <w:rPr>
          <w:rFonts w:ascii="宋体" w:hAnsi="宋体" w:eastAsia="宋体" w:cs="宋体"/>
          <w:color w:val="FFFFFF" w:themeColor="background1"/>
          <w:kern w:val="0"/>
          <w:sz w:val="24"/>
          <w:szCs w:val="24"/>
          <w:highlight w:val="lightGray"/>
          <w14:textFill>
            <w14:solidFill>
              <w14:schemeClr w14:val="bg1"/>
            </w14:solidFill>
          </w14:textFill>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386F"/>
    <w:rsid w:val="007C3B30"/>
    <w:rsid w:val="007E218F"/>
    <w:rsid w:val="007F23C2"/>
    <w:rsid w:val="0080797A"/>
    <w:rsid w:val="00813FFE"/>
    <w:rsid w:val="00822B80"/>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5CE4"/>
    <w:rsid w:val="00CB665C"/>
    <w:rsid w:val="00CC50FA"/>
    <w:rsid w:val="00CD67F8"/>
    <w:rsid w:val="00D02B6F"/>
    <w:rsid w:val="00D534B4"/>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07897CD5"/>
    <w:rsid w:val="084B2430"/>
    <w:rsid w:val="1C350744"/>
    <w:rsid w:val="21B6192C"/>
    <w:rsid w:val="237C49FE"/>
    <w:rsid w:val="395F4CEF"/>
    <w:rsid w:val="42D468EB"/>
    <w:rsid w:val="507403B2"/>
    <w:rsid w:val="5601032B"/>
    <w:rsid w:val="785D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footer"/>
    <w:basedOn w:val="1"/>
    <w:link w:val="211"/>
    <w:unhideWhenUsed/>
    <w:qFormat/>
    <w:uiPriority w:val="99"/>
    <w:pPr>
      <w:tabs>
        <w:tab w:val="center" w:pos="4153"/>
        <w:tab w:val="right" w:pos="8306"/>
      </w:tabs>
      <w:snapToGrid w:val="0"/>
      <w:jc w:val="left"/>
    </w:pPr>
    <w:rPr>
      <w:sz w:val="18"/>
      <w:szCs w:val="18"/>
    </w:rPr>
  </w:style>
  <w:style w:type="paragraph" w:styleId="8">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2">
    <w:name w:val="Normal (Web)"/>
    <w:basedOn w:val="1"/>
    <w:unhideWhenUsed/>
    <w:qFormat/>
    <w:uiPriority w:val="99"/>
    <w:pPr>
      <w:widowControl/>
      <w:jc w:val="left"/>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1"/>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uiPriority w:val="0"/>
    <w:pPr>
      <w:widowControl/>
      <w:spacing w:before="150"/>
      <w:jc w:val="left"/>
    </w:pPr>
    <w:rPr>
      <w:rFonts w:ascii="宋体" w:hAnsi="宋体" w:eastAsia="宋体" w:cs="宋体"/>
      <w:kern w:val="0"/>
      <w:sz w:val="24"/>
      <w:szCs w:val="24"/>
    </w:rPr>
  </w:style>
  <w:style w:type="paragraph" w:customStyle="1" w:styleId="39">
    <w:name w:val="pag_box3b"/>
    <w:basedOn w:val="1"/>
    <w:uiPriority w:val="0"/>
    <w:pPr>
      <w:widowControl/>
      <w:spacing w:before="150"/>
      <w:jc w:val="left"/>
    </w:pPr>
    <w:rPr>
      <w:rFonts w:ascii="宋体" w:hAnsi="宋体" w:eastAsia="宋体" w:cs="宋体"/>
      <w:kern w:val="0"/>
      <w:sz w:val="24"/>
      <w:szCs w:val="24"/>
    </w:rPr>
  </w:style>
  <w:style w:type="paragraph" w:customStyle="1" w:styleId="40">
    <w:name w:val="pag_box4"/>
    <w:basedOn w:val="1"/>
    <w:uiPriority w:val="0"/>
    <w:pPr>
      <w:widowControl/>
      <w:jc w:val="left"/>
    </w:pPr>
    <w:rPr>
      <w:rFonts w:ascii="宋体" w:hAnsi="宋体" w:eastAsia="宋体" w:cs="宋体"/>
      <w:kern w:val="0"/>
      <w:sz w:val="24"/>
      <w:szCs w:val="24"/>
    </w:rPr>
  </w:style>
  <w:style w:type="paragraph" w:customStyle="1" w:styleId="41">
    <w:name w:val="pag_box15"/>
    <w:basedOn w:val="1"/>
    <w:uiPriority w:val="0"/>
    <w:pPr>
      <w:widowControl/>
      <w:jc w:val="left"/>
    </w:pPr>
    <w:rPr>
      <w:rFonts w:ascii="宋体" w:hAnsi="宋体" w:eastAsia="宋体" w:cs="宋体"/>
      <w:kern w:val="0"/>
      <w:sz w:val="24"/>
      <w:szCs w:val="24"/>
    </w:rPr>
  </w:style>
  <w:style w:type="paragraph" w:customStyle="1" w:styleId="42">
    <w:name w:val="pag_box15b"/>
    <w:basedOn w:val="1"/>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uiPriority w:val="0"/>
    <w:pPr>
      <w:widowControl/>
      <w:spacing w:before="450"/>
      <w:jc w:val="left"/>
    </w:pPr>
    <w:rPr>
      <w:rFonts w:ascii="宋体" w:hAnsi="宋体" w:eastAsia="宋体" w:cs="宋体"/>
      <w:kern w:val="0"/>
      <w:sz w:val="24"/>
      <w:szCs w:val="24"/>
    </w:rPr>
  </w:style>
  <w:style w:type="paragraph" w:customStyle="1" w:styleId="59">
    <w:name w:val="pag_box22"/>
    <w:basedOn w:val="1"/>
    <w:uiPriority w:val="0"/>
    <w:pPr>
      <w:widowControl/>
      <w:jc w:val="left"/>
    </w:pPr>
    <w:rPr>
      <w:rFonts w:ascii="宋体" w:hAnsi="宋体" w:eastAsia="宋体" w:cs="宋体"/>
      <w:kern w:val="0"/>
      <w:sz w:val="24"/>
      <w:szCs w:val="24"/>
    </w:rPr>
  </w:style>
  <w:style w:type="paragraph" w:customStyle="1" w:styleId="60">
    <w:name w:val="pag_text11"/>
    <w:basedOn w:val="1"/>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8"/>
    <w:qFormat/>
    <w:uiPriority w:val="99"/>
    <w:rPr>
      <w:sz w:val="18"/>
      <w:szCs w:val="18"/>
    </w:rPr>
  </w:style>
  <w:style w:type="character" w:customStyle="1" w:styleId="211">
    <w:name w:val="页脚 字符"/>
    <w:basedOn w:val="15"/>
    <w:link w:val="7"/>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datastoreItem>
</file>

<file path=docProps/app.xml><?xml version="1.0" encoding="utf-8"?>
<Properties xmlns="http://schemas.openxmlformats.org/officeDocument/2006/extended-properties" xmlns:vt="http://schemas.openxmlformats.org/officeDocument/2006/docPropsVTypes">
  <Template>Normal</Template>
  <Pages>18</Pages>
  <Words>1177</Words>
  <Characters>6714</Characters>
  <Lines>55</Lines>
  <Paragraphs>15</Paragraphs>
  <TotalTime>6</TotalTime>
  <ScaleCrop>false</ScaleCrop>
  <LinksUpToDate>false</LinksUpToDate>
  <CharactersWithSpaces>7876</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GDWL-yxb-2</cp:lastModifiedBy>
  <dcterms:modified xsi:type="dcterms:W3CDTF">2019-12-27T08:36:45Z</dcterms:modified>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