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36"/>
          <w:szCs w:val="24"/>
        </w:rPr>
      </w:pPr>
      <w:r>
        <w:rPr>
          <w:rFonts w:ascii="宋体" w:hAnsi="宋体" w:eastAsia="宋体" w:cs="宋体"/>
          <w:bCs/>
          <w:kern w:val="0"/>
          <w:sz w:val="36"/>
          <w:szCs w:val="24"/>
        </w:rPr>
        <w:t>项目名称：</w:t>
      </w:r>
      <w:r>
        <w:rPr>
          <w:rFonts w:hint="eastAsia" w:ascii="宋体" w:hAnsi="宋体" w:eastAsia="宋体" w:cs="宋体"/>
          <w:kern w:val="2"/>
          <w:sz w:val="36"/>
          <w:szCs w:val="36"/>
          <w:u w:val="none"/>
          <w:lang w:eastAsia="zh-CN"/>
        </w:rPr>
        <w:t>建宁县濉溪镇高峰村</w:t>
      </w:r>
      <w:r>
        <w:rPr>
          <w:rFonts w:hint="eastAsia" w:ascii="宋体" w:hAnsi="宋体" w:eastAsia="宋体" w:cs="宋体"/>
          <w:kern w:val="2"/>
          <w:sz w:val="36"/>
          <w:szCs w:val="36"/>
          <w:u w:val="none"/>
          <w:lang w:val="en-US" w:eastAsia="zh-CN"/>
        </w:rPr>
        <w:t>2018年人居环境整治提升</w:t>
      </w:r>
      <w:r>
        <w:rPr>
          <w:rFonts w:hint="eastAsia" w:ascii="宋体" w:hAnsi="宋体" w:eastAsia="宋体" w:cs="宋体"/>
          <w:kern w:val="2"/>
          <w:sz w:val="36"/>
          <w:szCs w:val="36"/>
          <w:u w:val="none"/>
          <w:lang w:eastAsia="zh-CN"/>
        </w:rPr>
        <w:t>项目网络监控工程</w:t>
      </w: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jc w:val="center"/>
        <w:rPr>
          <w:rFonts w:hint="default" w:ascii="宋体" w:hAnsi="宋体" w:eastAsia="宋体" w:cs="宋体"/>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val="en-US" w:eastAsia="zh-CN"/>
        </w:rPr>
        <w:t>JNGDWL20191213</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福建广电网络集团股份有限公司三明分公司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9"/>
            <w:tabs>
              <w:tab w:val="right" w:leader="dot" w:pos="8296"/>
            </w:tabs>
            <w:spacing w:line="360" w:lineRule="auto"/>
            <w:rPr>
              <w:rFonts w:ascii="宋体" w:hAnsi="宋体" w:eastAsia="宋体"/>
              <w:b/>
            </w:rPr>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"_Toc513643997" </w:instrText>
          </w:r>
          <w:r>
            <w:fldChar w:fldCharType="separate"/>
          </w:r>
          <w:r>
            <w:rPr>
              <w:rStyle w:val="19"/>
              <w:rFonts w:ascii="宋体" w:hAnsi="宋体" w:eastAsia="宋体"/>
              <w:b/>
            </w:rPr>
            <w:t>第一章 询价邀请/询价邀请书</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_Toc513643997 \h </w:instrText>
          </w:r>
          <w:r>
            <w:rPr>
              <w:rFonts w:ascii="宋体" w:hAnsi="宋体" w:eastAsia="宋体"/>
              <w:b/>
            </w:rPr>
            <w:fldChar w:fldCharType="separate"/>
          </w:r>
          <w:r>
            <w:rPr>
              <w:rFonts w:ascii="宋体" w:hAnsi="宋体" w:eastAsia="宋体"/>
              <w:b/>
            </w:rPr>
            <w:t>1</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"_Toc513643998" </w:instrText>
          </w:r>
          <w:r>
            <w:fldChar w:fldCharType="separate"/>
          </w:r>
          <w:r>
            <w:rPr>
              <w:rStyle w:val="19"/>
              <w:rFonts w:ascii="宋体" w:hAnsi="宋体" w:eastAsia="宋体"/>
              <w:b/>
            </w:rPr>
            <w:t>第二章 询价须知</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_Toc513643998 \h </w:instrText>
          </w:r>
          <w:r>
            <w:rPr>
              <w:rFonts w:ascii="宋体" w:hAnsi="宋体" w:eastAsia="宋体"/>
              <w:b/>
            </w:rPr>
            <w:fldChar w:fldCharType="separate"/>
          </w:r>
          <w:r>
            <w:rPr>
              <w:rFonts w:ascii="宋体" w:hAnsi="宋体" w:eastAsia="宋体"/>
              <w:b/>
            </w:rPr>
            <w:t>2</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"_Toc513643999" </w:instrText>
          </w:r>
          <w:r>
            <w:fldChar w:fldCharType="separate"/>
          </w:r>
          <w:r>
            <w:rPr>
              <w:rStyle w:val="19"/>
              <w:rFonts w:ascii="宋体" w:hAnsi="宋体" w:eastAsia="宋体"/>
              <w:b/>
            </w:rPr>
            <w:t>第三章 询价内容及要求</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_Toc513643999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"_Toc513644000" </w:instrText>
          </w:r>
          <w:r>
            <w:fldChar w:fldCharType="separate"/>
          </w:r>
          <w:r>
            <w:rPr>
              <w:rStyle w:val="19"/>
              <w:rFonts w:ascii="宋体" w:hAnsi="宋体" w:eastAsia="宋体"/>
              <w:b/>
            </w:rPr>
            <w:t>一、采购标的一览表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_Toc513644000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"_Toc513644001" </w:instrText>
          </w:r>
          <w:r>
            <w:fldChar w:fldCharType="separate"/>
          </w:r>
          <w:r>
            <w:rPr>
              <w:rStyle w:val="19"/>
              <w:rFonts w:ascii="宋体" w:hAnsi="宋体" w:eastAsia="宋体"/>
              <w:b/>
            </w:rPr>
            <w:t>二、技术要求（以下内容不允许负偏离）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_Toc513644001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"_Toc513644002" </w:instrText>
          </w:r>
          <w:r>
            <w:fldChar w:fldCharType="separate"/>
          </w:r>
          <w:r>
            <w:rPr>
              <w:rStyle w:val="19"/>
              <w:rFonts w:ascii="宋体" w:hAnsi="宋体" w:eastAsia="宋体"/>
              <w:b/>
            </w:rPr>
            <w:t>三、商务条件（以下内容不允许负偏离）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_Toc513644002 \h </w:instrText>
          </w:r>
          <w:r>
            <w:rPr>
              <w:rFonts w:ascii="宋体" w:hAnsi="宋体" w:eastAsia="宋体"/>
              <w:b/>
            </w:rPr>
            <w:fldChar w:fldCharType="separate"/>
          </w:r>
          <w:r>
            <w:rPr>
              <w:rFonts w:ascii="宋体" w:hAnsi="宋体" w:eastAsia="宋体"/>
              <w:b/>
            </w:rPr>
            <w:t>14</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"_Toc513644003" </w:instrText>
          </w:r>
          <w:r>
            <w:fldChar w:fldCharType="separate"/>
          </w:r>
          <w:r>
            <w:rPr>
              <w:rStyle w:val="19"/>
              <w:rFonts w:ascii="宋体" w:hAnsi="宋体" w:eastAsia="宋体"/>
              <w:b/>
            </w:rPr>
            <w:t>第四章 响应文件格式</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_Toc513644003 \h </w:instrText>
          </w:r>
          <w:r>
            <w:rPr>
              <w:rFonts w:ascii="宋体" w:hAnsi="宋体" w:eastAsia="宋体"/>
              <w:b/>
            </w:rPr>
            <w:fldChar w:fldCharType="separate"/>
          </w:r>
          <w:r>
            <w:rPr>
              <w:rFonts w:ascii="宋体" w:hAnsi="宋体" w:eastAsia="宋体"/>
              <w:b/>
            </w:rPr>
            <w:t>17</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"_Toc513644004" </w:instrText>
          </w:r>
          <w:r>
            <w:fldChar w:fldCharType="separate"/>
          </w:r>
          <w:r>
            <w:rPr>
              <w:rStyle w:val="19"/>
              <w:rFonts w:ascii="宋体" w:hAnsi="宋体" w:eastAsia="宋体" w:cs="Calibri"/>
              <w:b/>
            </w:rPr>
            <w:t>一</w:t>
          </w:r>
          <w:r>
            <w:rPr>
              <w:rStyle w:val="19"/>
              <w:rFonts w:ascii="宋体" w:hAnsi="宋体" w:eastAsia="宋体"/>
              <w:b/>
            </w:rPr>
            <w:t>、投标函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_Toc513644004 \h </w:instrText>
          </w:r>
          <w:r>
            <w:rPr>
              <w:rFonts w:ascii="宋体" w:hAnsi="宋体" w:eastAsia="宋体"/>
              <w:b/>
            </w:rPr>
            <w:fldChar w:fldCharType="separate"/>
          </w:r>
          <w:r>
            <w:rPr>
              <w:rFonts w:ascii="宋体" w:hAnsi="宋体" w:eastAsia="宋体"/>
              <w:b/>
            </w:rPr>
            <w:t>19</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"_Toc513644005" </w:instrText>
          </w:r>
          <w:r>
            <w:fldChar w:fldCharType="separate"/>
          </w:r>
          <w:r>
            <w:rPr>
              <w:rStyle w:val="19"/>
              <w:rFonts w:ascii="宋体" w:hAnsi="宋体" w:eastAsia="宋体"/>
              <w:b/>
            </w:rPr>
            <w:t>二、报价表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_Toc513644005 \h </w:instrText>
          </w:r>
          <w:r>
            <w:rPr>
              <w:rFonts w:ascii="宋体" w:hAnsi="宋体" w:eastAsia="宋体"/>
              <w:b/>
            </w:rPr>
            <w:fldChar w:fldCharType="separate"/>
          </w:r>
          <w:r>
            <w:rPr>
              <w:rFonts w:ascii="宋体" w:hAnsi="宋体" w:eastAsia="宋体"/>
              <w:b/>
            </w:rPr>
            <w:t>21</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"_Toc513644006" </w:instrText>
          </w:r>
          <w:r>
            <w:fldChar w:fldCharType="separate"/>
          </w:r>
          <w:r>
            <w:rPr>
              <w:rStyle w:val="19"/>
              <w:rFonts w:ascii="宋体" w:hAnsi="宋体" w:eastAsia="宋体"/>
              <w:b/>
            </w:rPr>
            <w:t>三、资格证明文件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_Toc513644006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"_Toc513644007" </w:instrText>
          </w:r>
          <w:r>
            <w:fldChar w:fldCharType="separate"/>
          </w:r>
          <w:r>
            <w:rPr>
              <w:rStyle w:val="19"/>
              <w:rFonts w:ascii="宋体" w:hAnsi="宋体" w:eastAsia="宋体"/>
              <w:b/>
            </w:rPr>
            <w:t>3-1单位负责人授权书（若有）</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_Toc513644007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"_Toc513644008" </w:instrText>
          </w:r>
          <w:r>
            <w:fldChar w:fldCharType="separate"/>
          </w:r>
          <w:r>
            <w:rPr>
              <w:rStyle w:val="19"/>
              <w:rFonts w:ascii="宋体" w:hAnsi="宋体" w:eastAsia="宋体"/>
              <w:b/>
            </w:rPr>
            <w:t>3-2营业执照等证明文件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_Toc513644008 \h </w:instrText>
          </w:r>
          <w:r>
            <w:rPr>
              <w:rFonts w:ascii="宋体" w:hAnsi="宋体" w:eastAsia="宋体"/>
              <w:b/>
            </w:rPr>
            <w:fldChar w:fldCharType="separate"/>
          </w:r>
          <w:r>
            <w:rPr>
              <w:rFonts w:ascii="宋体" w:hAnsi="宋体" w:eastAsia="宋体"/>
              <w:b/>
            </w:rPr>
            <w:t>23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"_Toc513644009" </w:instrText>
          </w:r>
          <w:r>
            <w:fldChar w:fldCharType="separate"/>
          </w:r>
          <w:r>
            <w:rPr>
              <w:rStyle w:val="19"/>
              <w:rFonts w:ascii="宋体" w:hAnsi="宋体" w:eastAsia="宋体"/>
              <w:b/>
            </w:rPr>
            <w:t>四、技术要求响应表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_Toc513644009 \h </w:instrText>
          </w:r>
          <w:r>
            <w:rPr>
              <w:rFonts w:ascii="宋体" w:hAnsi="宋体" w:eastAsia="宋体"/>
              <w:b/>
            </w:rPr>
            <w:fldChar w:fldCharType="separate"/>
          </w:r>
          <w:r>
            <w:rPr>
              <w:rFonts w:ascii="宋体" w:hAnsi="宋体" w:eastAsia="宋体"/>
              <w:b/>
            </w:rPr>
            <w:t>24</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"_Toc513644010" </w:instrText>
          </w:r>
          <w:r>
            <w:fldChar w:fldCharType="separate"/>
          </w:r>
          <w:r>
            <w:rPr>
              <w:rStyle w:val="19"/>
              <w:rFonts w:ascii="宋体" w:hAnsi="宋体" w:eastAsia="宋体"/>
              <w:b/>
            </w:rPr>
            <w:t>五、商务条件响应表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_Toc513644010 \h </w:instrText>
          </w:r>
          <w:r>
            <w:rPr>
              <w:rFonts w:ascii="宋体" w:hAnsi="宋体" w:eastAsia="宋体"/>
              <w:b/>
            </w:rPr>
            <w:fldChar w:fldCharType="separate"/>
          </w:r>
          <w:r>
            <w:rPr>
              <w:rFonts w:ascii="宋体" w:hAnsi="宋体" w:eastAsia="宋体"/>
              <w:b/>
            </w:rPr>
            <w:t>25</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"_Toc513644011" </w:instrText>
          </w:r>
          <w:r>
            <w:fldChar w:fldCharType="separate"/>
          </w:r>
          <w:r>
            <w:rPr>
              <w:rStyle w:val="19"/>
              <w:rFonts w:ascii="宋体" w:hAnsi="宋体" w:eastAsia="宋体"/>
              <w:b/>
            </w:rPr>
            <w:t>六、售后服务承诺函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_Toc513644011 \h </w:instrText>
          </w:r>
          <w:r>
            <w:rPr>
              <w:rFonts w:ascii="宋体" w:hAnsi="宋体" w:eastAsia="宋体"/>
              <w:b/>
            </w:rPr>
            <w:fldChar w:fldCharType="separate"/>
          </w:r>
          <w:r>
            <w:rPr>
              <w:rFonts w:ascii="宋体" w:hAnsi="宋体" w:eastAsia="宋体"/>
              <w:b/>
            </w:rPr>
            <w:t>26</w:t>
          </w:r>
          <w:r>
            <w:rPr>
              <w:rFonts w:ascii="宋体" w:hAnsi="宋体" w:eastAsia="宋体"/>
              <w:b/>
            </w:rPr>
            <w:fldChar w:fldCharType="end"/>
          </w:r>
          <w:r>
            <w:rPr>
              <w:rFonts w:ascii="宋体" w:hAnsi="宋体" w:eastAsia="宋体"/>
              <w:b/>
            </w:rP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513643997"/>
      <w:r>
        <w:t>第一章</w:t>
      </w:r>
      <w:r>
        <w:rPr>
          <w:rFonts w:hint="eastAsia"/>
        </w:rPr>
        <w:t xml:space="preserve"> </w:t>
      </w:r>
      <w:r>
        <w:t>询价邀请/询价邀请书</w:t>
      </w:r>
      <w:bookmarkEnd w:id="0"/>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福建广电网络集团股份有限公司三明分公司组织</w:t>
      </w:r>
      <w:r>
        <w:rPr>
          <w:rFonts w:hint="eastAsia" w:ascii="宋体" w:hAnsi="宋体" w:eastAsia="宋体" w:cs="宋体"/>
          <w:kern w:val="2"/>
          <w:sz w:val="24"/>
          <w:szCs w:val="24"/>
          <w:u w:val="none"/>
          <w:lang w:eastAsia="zh-CN"/>
        </w:rPr>
        <w:t>建宁县濉溪镇高峰村</w:t>
      </w:r>
      <w:r>
        <w:rPr>
          <w:rFonts w:hint="eastAsia" w:ascii="宋体" w:hAnsi="宋体" w:eastAsia="宋体" w:cs="宋体"/>
          <w:kern w:val="2"/>
          <w:sz w:val="24"/>
          <w:szCs w:val="24"/>
          <w:u w:val="none"/>
          <w:lang w:val="en-US" w:eastAsia="zh-CN"/>
        </w:rPr>
        <w:t>2018年人居环境整治提升</w:t>
      </w:r>
      <w:r>
        <w:rPr>
          <w:rFonts w:hint="eastAsia" w:ascii="宋体" w:hAnsi="宋体" w:eastAsia="宋体" w:cs="宋体"/>
          <w:kern w:val="2"/>
          <w:sz w:val="24"/>
          <w:szCs w:val="24"/>
          <w:u w:val="none"/>
          <w:lang w:eastAsia="zh-CN"/>
        </w:rPr>
        <w:t>项目网络监控工程</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项目编号：</w:t>
      </w:r>
      <w:r>
        <w:rPr>
          <w:rFonts w:hint="eastAsia" w:ascii="宋体" w:hAnsi="宋体" w:eastAsia="宋体" w:cs="宋体"/>
          <w:bCs/>
          <w:kern w:val="0"/>
          <w:sz w:val="24"/>
          <w:szCs w:val="24"/>
          <w:lang w:val="en-US" w:eastAsia="zh-CN"/>
        </w:rPr>
        <w:t>JNGDWL20191213</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117945元</w:t>
      </w:r>
      <w:r>
        <w:rPr>
          <w:rFonts w:hint="eastAsia" w:ascii="宋体" w:hAnsi="宋体" w:eastAsia="宋体"/>
          <w:sz w:val="24"/>
          <w:szCs w:val="24"/>
        </w:rPr>
        <w:t>。</w:t>
      </w:r>
    </w:p>
    <w:p>
      <w:pPr>
        <w:numPr>
          <w:ilvl w:val="0"/>
          <w:numId w:val="0"/>
        </w:numPr>
        <w:spacing w:line="360" w:lineRule="auto"/>
        <w:ind w:firstLine="480" w:firstLineChars="200"/>
        <w:jc w:val="left"/>
        <w:rPr>
          <w:rFonts w:ascii="宋体" w:hAnsi="宋体" w:eastAsia="宋体"/>
          <w:sz w:val="24"/>
          <w:szCs w:val="24"/>
        </w:rPr>
      </w:pPr>
      <w:r>
        <w:rPr>
          <w:rFonts w:ascii="宋体" w:hAnsi="宋体" w:eastAsia="宋体"/>
          <w:sz w:val="24"/>
          <w:szCs w:val="24"/>
        </w:rPr>
        <w:t>3、询价内容及技术商务依据</w:t>
      </w:r>
      <w:r>
        <w:rPr>
          <w:rFonts w:hint="eastAsia" w:ascii="宋体" w:hAnsi="宋体" w:eastAsia="宋体" w:cs="宋体"/>
          <w:bCs/>
          <w:color w:val="000000"/>
          <w:sz w:val="24"/>
          <w:szCs w:val="24"/>
          <w:u w:val="none"/>
        </w:rPr>
        <w:t>福建建盛工程管理</w:t>
      </w:r>
      <w:r>
        <w:rPr>
          <w:rFonts w:ascii="宋体" w:hAnsi="宋体" w:eastAsia="宋体"/>
          <w:sz w:val="24"/>
          <w:szCs w:val="24"/>
        </w:rPr>
        <w:t>有限公司编号为：</w:t>
      </w:r>
      <w:r>
        <w:rPr>
          <w:rFonts w:hint="eastAsia" w:ascii="宋体" w:hAnsi="宋体" w:eastAsia="宋体"/>
          <w:sz w:val="24"/>
          <w:szCs w:val="24"/>
          <w:lang w:val="en-US" w:eastAsia="zh-CN"/>
        </w:rPr>
        <w:t>FJJS[2019]</w:t>
      </w:r>
      <w:r>
        <w:rPr>
          <w:rFonts w:hint="eastAsia" w:ascii="宋体" w:hAnsi="宋体" w:eastAsia="宋体" w:cs="宋体"/>
          <w:kern w:val="2"/>
          <w:sz w:val="24"/>
          <w:szCs w:val="24"/>
          <w:u w:val="none"/>
          <w:lang w:val="en-US" w:eastAsia="zh-CN"/>
        </w:rPr>
        <w:t>033</w:t>
      </w:r>
      <w:r>
        <w:rPr>
          <w:rFonts w:hint="eastAsia" w:ascii="宋体" w:hAnsi="宋体" w:eastAsia="宋体" w:cs="宋体"/>
          <w:kern w:val="2"/>
          <w:sz w:val="24"/>
          <w:szCs w:val="24"/>
          <w:u w:val="none"/>
          <w:lang w:eastAsia="zh-CN"/>
        </w:rPr>
        <w:t>号</w:t>
      </w:r>
      <w:r>
        <w:rPr>
          <w:rFonts w:ascii="宋体" w:hAnsi="宋体" w:eastAsia="宋体"/>
          <w:sz w:val="24"/>
          <w:szCs w:val="24"/>
        </w:rPr>
        <w:t>项目要求</w:t>
      </w:r>
      <w:r>
        <w:rPr>
          <w:rFonts w:hint="eastAsia" w:ascii="宋体" w:hAnsi="宋体" w:eastAsia="宋体"/>
          <w:sz w:val="24"/>
          <w:szCs w:val="24"/>
        </w:rPr>
        <w:t>。</w:t>
      </w:r>
    </w:p>
    <w:p>
      <w:pPr>
        <w:pStyle w:val="12"/>
        <w:snapToGrid w:val="0"/>
        <w:spacing w:line="360" w:lineRule="auto"/>
        <w:contextualSpacing/>
      </w:pPr>
      <w:r>
        <w:rPr>
          <w:rFonts w:hint="eastAsia"/>
        </w:rPr>
        <w:t>二、供应商资格要求</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513643998"/>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3"/>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r>
              <w:rPr>
                <w:rFonts w:ascii="宋体" w:hAnsi="宋体" w:eastAsia="宋体" w:cs="宋体"/>
                <w:kern w:val="0"/>
                <w:sz w:val="24"/>
                <w:szCs w:val="24"/>
              </w:rPr>
              <w:t>包</w:t>
            </w:r>
            <w:r>
              <w:rPr>
                <w:rFonts w:hint="eastAsia" w:ascii="宋体" w:hAnsi="宋体" w:eastAsia="宋体" w:cs="宋体"/>
                <w:kern w:val="0"/>
                <w:sz w:val="24"/>
                <w:szCs w:val="24"/>
              </w:rPr>
              <w:t>2</w:t>
            </w:r>
            <w:r>
              <w:rPr>
                <w:rFonts w:ascii="宋体" w:hAnsi="宋体" w:eastAsia="宋体" w:cs="宋体"/>
                <w:kern w:val="0"/>
                <w:sz w:val="24"/>
                <w:szCs w:val="24"/>
              </w:rPr>
              <w:t>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rPr>
                <w:rFonts w:hint="eastAsia" w:ascii="宋体" w:hAnsi="宋体" w:eastAsia="宋体" w:cs="宋体"/>
                <w:spacing w:val="17"/>
                <w:sz w:val="24"/>
                <w:szCs w:val="24"/>
              </w:rPr>
            </w:pPr>
            <w:r>
              <w:rPr>
                <w:rFonts w:hint="eastAsia" w:ascii="宋体" w:hAnsi="宋体" w:eastAsia="宋体" w:cs="宋体"/>
                <w:spacing w:val="17"/>
                <w:sz w:val="24"/>
                <w:szCs w:val="24"/>
                <w:lang w:val="en-US" w:eastAsia="zh-CN"/>
              </w:rPr>
              <w:t>在规定工期内按工程要求，保质保量完成安装、调试、验收后付总金额的95%，剩余的5%作为质量保证金在满一年后无质量问题一次性付清。</w:t>
            </w:r>
          </w:p>
          <w:p>
            <w:pPr>
              <w:widowControl/>
              <w:spacing w:line="360" w:lineRule="auto"/>
              <w:ind w:firstLine="480" w:firstLineChars="200"/>
              <w:jc w:val="left"/>
              <w:rPr>
                <w:rFonts w:ascii="宋体" w:hAnsi="宋体" w:eastAsia="宋体" w:cs="宋体"/>
                <w:kern w:val="0"/>
                <w:sz w:val="24"/>
                <w:szCs w:val="24"/>
              </w:rPr>
            </w:pPr>
          </w:p>
        </w:tc>
      </w:tr>
    </w:tbl>
    <w:p>
      <w:pPr>
        <w:pStyle w:val="2"/>
      </w:pPr>
      <w:bookmarkStart w:id="2" w:name="_Toc513643999"/>
      <w:r>
        <w:t>第</w:t>
      </w:r>
      <w:r>
        <w:rPr>
          <w:rFonts w:hint="eastAsia"/>
        </w:rPr>
        <w:t>三</w:t>
      </w:r>
      <w:r>
        <w:t>章</w:t>
      </w:r>
      <w:r>
        <w:rPr>
          <w:rFonts w:hint="eastAsia"/>
        </w:rPr>
        <w:t xml:space="preserve"> </w:t>
      </w:r>
      <w:r>
        <w:t>询价内容及要求</w:t>
      </w:r>
      <w:bookmarkEnd w:id="2"/>
    </w:p>
    <w:p>
      <w:pPr>
        <w:pStyle w:val="3"/>
      </w:pPr>
      <w:bookmarkStart w:id="3" w:name="_Toc513644000"/>
      <w:r>
        <w:t>一、采购标的</w:t>
      </w:r>
      <w:r>
        <w:rPr>
          <w:rFonts w:hint="eastAsia"/>
        </w:rPr>
        <w:t>一览表</w:t>
      </w:r>
      <w:bookmarkEnd w:id="3"/>
    </w:p>
    <w:tbl>
      <w:tblPr>
        <w:tblStyle w:val="13"/>
        <w:tblW w:w="767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49"/>
        <w:gridCol w:w="955"/>
        <w:gridCol w:w="1928"/>
        <w:gridCol w:w="958"/>
        <w:gridCol w:w="958"/>
        <w:gridCol w:w="961"/>
        <w:gridCol w:w="9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bookmarkStart w:id="4" w:name="_Toc513644001"/>
            <w:r>
              <w:rPr>
                <w:rFonts w:ascii="宋体" w:hAnsi="宋体" w:eastAsia="宋体" w:cs="宋体"/>
                <w:kern w:val="0"/>
                <w:sz w:val="24"/>
                <w:szCs w:val="24"/>
              </w:rPr>
              <w:t>合同包</w:t>
            </w:r>
          </w:p>
        </w:tc>
        <w:tc>
          <w:tcPr>
            <w:tcW w:w="9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9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6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6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33" w:hRule="atLeast"/>
        </w:trPr>
        <w:tc>
          <w:tcPr>
            <w:tcW w:w="949"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955" w:type="dxa"/>
            <w:tcBorders>
              <w:top w:val="outset" w:color="auto" w:sz="6" w:space="0"/>
              <w:left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928" w:type="dxa"/>
            <w:tcBorders>
              <w:top w:val="outset" w:color="auto" w:sz="6" w:space="0"/>
              <w:left w:val="outset" w:color="auto" w:sz="6" w:space="0"/>
              <w:right w:val="outset" w:color="auto" w:sz="6" w:space="0"/>
            </w:tcBorders>
            <w:vAlign w:val="center"/>
          </w:tcPr>
          <w:p>
            <w:pPr>
              <w:pStyle w:val="2"/>
              <w:pageBreakBefore w:val="0"/>
              <w:widowControl w:val="0"/>
              <w:numPr>
                <w:ilvl w:val="0"/>
                <w:numId w:val="0"/>
              </w:numPr>
              <w:kinsoku/>
              <w:wordWrap/>
              <w:overflowPunct/>
              <w:topLinePunct w:val="0"/>
              <w:autoSpaceDE/>
              <w:autoSpaceDN/>
              <w:bidi w:val="0"/>
              <w:snapToGrid/>
              <w:spacing w:before="120" w:after="120" w:line="400" w:lineRule="exact"/>
              <w:ind w:leftChars="0"/>
              <w:jc w:val="center"/>
              <w:rPr>
                <w:rFonts w:hint="default" w:ascii="宋体" w:hAnsi="宋体"/>
                <w:sz w:val="30"/>
                <w:szCs w:val="30"/>
                <w:lang w:val="en-US" w:eastAsia="zh-CN"/>
              </w:rPr>
            </w:pPr>
            <w:r>
              <w:rPr>
                <w:rFonts w:hint="eastAsia" w:ascii="宋体" w:hAnsi="宋体" w:eastAsia="宋体" w:cs="宋体"/>
                <w:kern w:val="0"/>
                <w:sz w:val="24"/>
                <w:szCs w:val="24"/>
                <w:lang w:val="en-US" w:eastAsia="zh-CN"/>
              </w:rPr>
              <w:t xml:space="preserve"> </w:t>
            </w:r>
            <w:r>
              <w:rPr>
                <w:rFonts w:hint="eastAsia" w:ascii="宋体" w:hAnsi="宋体"/>
                <w:b w:val="0"/>
                <w:bCs w:val="0"/>
                <w:sz w:val="24"/>
                <w:szCs w:val="24"/>
                <w:lang w:eastAsia="zh-CN"/>
              </w:rPr>
              <w:t>建宁县濉溪镇高峰村</w:t>
            </w:r>
            <w:r>
              <w:rPr>
                <w:rFonts w:hint="eastAsia" w:ascii="宋体" w:hAnsi="宋体"/>
                <w:b w:val="0"/>
                <w:bCs w:val="0"/>
                <w:sz w:val="24"/>
                <w:szCs w:val="24"/>
                <w:lang w:val="en-US" w:eastAsia="zh-CN"/>
              </w:rPr>
              <w:t>2018年人居环境整治提升</w:t>
            </w:r>
            <w:r>
              <w:rPr>
                <w:rFonts w:hint="eastAsia" w:ascii="宋体" w:hAnsi="宋体"/>
                <w:b w:val="0"/>
                <w:bCs w:val="0"/>
                <w:sz w:val="24"/>
                <w:szCs w:val="24"/>
                <w:lang w:eastAsia="zh-CN"/>
              </w:rPr>
              <w:t>项目网络监控工程</w:t>
            </w:r>
            <w:r>
              <w:rPr>
                <w:rFonts w:hint="eastAsia"/>
                <w:b w:val="0"/>
                <w:bCs w:val="0"/>
                <w:sz w:val="24"/>
                <w:szCs w:val="24"/>
                <w:lang w:eastAsia="zh-CN"/>
              </w:rPr>
              <w:t>采购</w:t>
            </w:r>
          </w:p>
          <w:p>
            <w:pPr>
              <w:widowControl/>
              <w:jc w:val="both"/>
              <w:rPr>
                <w:rFonts w:hint="eastAsia" w:ascii="宋体" w:hAnsi="宋体" w:eastAsia="宋体" w:cs="宋体"/>
                <w:kern w:val="0"/>
                <w:sz w:val="24"/>
                <w:szCs w:val="24"/>
                <w:lang w:val="en-US" w:eastAsia="zh-CN"/>
              </w:rPr>
            </w:pPr>
          </w:p>
        </w:tc>
        <w:tc>
          <w:tcPr>
            <w:tcW w:w="958" w:type="dxa"/>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1（批）</w:t>
            </w:r>
          </w:p>
        </w:tc>
        <w:tc>
          <w:tcPr>
            <w:tcW w:w="958"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961"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c>
          <w:tcPr>
            <w:tcW w:w="961" w:type="dxa"/>
            <w:tcBorders>
              <w:top w:val="outset" w:color="auto" w:sz="6" w:space="0"/>
              <w:left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117945</w:t>
            </w:r>
          </w:p>
        </w:tc>
      </w:tr>
    </w:tbl>
    <w:p>
      <w:pPr>
        <w:pStyle w:val="3"/>
      </w:pPr>
      <w:r>
        <w:t>二、技术要求（以下内容不允许负偏离）</w:t>
      </w:r>
      <w:bookmarkEnd w:id="4"/>
    </w:p>
    <w:p>
      <w:r>
        <w:rPr>
          <w:rFonts w:hint="eastAsia"/>
        </w:rPr>
        <w:t>包1：</w:t>
      </w:r>
    </w:p>
    <w:tbl>
      <w:tblPr>
        <w:tblStyle w:val="13"/>
        <w:tblpPr w:leftFromText="180" w:rightFromText="180" w:vertAnchor="text" w:horzAnchor="page" w:tblpX="1589" w:tblpY="746"/>
        <w:tblOverlap w:val="never"/>
        <w:tblW w:w="987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1"/>
        <w:gridCol w:w="1377"/>
        <w:gridCol w:w="6320"/>
        <w:gridCol w:w="54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0" w:hRule="atLeast"/>
          <w:tblCellSpacing w:w="15" w:type="dxa"/>
        </w:trPr>
        <w:tc>
          <w:tcPr>
            <w:tcW w:w="81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序号</w:t>
            </w:r>
          </w:p>
        </w:tc>
        <w:tc>
          <w:tcPr>
            <w:tcW w:w="1347"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设备</w:t>
            </w:r>
          </w:p>
          <w:p>
            <w:pPr>
              <w:pStyle w:val="12"/>
              <w:keepNext w:val="0"/>
              <w:keepLines w:val="0"/>
              <w:widowControl/>
              <w:suppressLineNumbers w:val="0"/>
              <w:spacing w:line="405" w:lineRule="atLeast"/>
              <w:jc w:val="center"/>
            </w:pPr>
            <w:r>
              <w:rPr>
                <w:rFonts w:hint="eastAsia" w:ascii="宋体" w:hAnsi="宋体" w:eastAsia="宋体" w:cs="宋体"/>
                <w:sz w:val="24"/>
                <w:szCs w:val="24"/>
              </w:rPr>
              <w:t>名称</w:t>
            </w:r>
          </w:p>
        </w:tc>
        <w:tc>
          <w:tcPr>
            <w:tcW w:w="629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技术参数及要求</w:t>
            </w:r>
          </w:p>
        </w:tc>
        <w:tc>
          <w:tcPr>
            <w:tcW w:w="51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单位</w:t>
            </w:r>
          </w:p>
        </w:tc>
        <w:tc>
          <w:tcPr>
            <w:tcW w:w="7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eastAsia="zh-CN"/>
              </w:rPr>
            </w:pPr>
            <w:r>
              <w:rPr>
                <w:rFonts w:hint="eastAsia" w:ascii="宋体" w:hAnsi="宋体" w:cs="宋体"/>
                <w:sz w:val="24"/>
                <w:szCs w:val="24"/>
                <w:lang w:eastAsia="zh-CN"/>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ascii="宋体" w:hAnsi="宋体" w:cs="宋体"/>
                <w:sz w:val="24"/>
                <w:szCs w:val="24"/>
                <w:lang w:val="en-US" w:eastAsia="zh-CN"/>
              </w:rPr>
              <w:t>网络摄像机(枪机)</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eastAsia="宋体"/>
                <w:lang w:val="en-US" w:eastAsia="zh-CN"/>
              </w:rPr>
            </w:pPr>
            <w:r>
              <w:rPr>
                <w:rFonts w:hint="eastAsia" w:eastAsia="宋体"/>
                <w:lang w:val="en-US" w:eastAsia="zh-CN"/>
              </w:rPr>
              <w:t>200万1/2.7”CMOS 全彩筒型网络摄像机最小照度:彩色：0.0005Lux@F1.0，AGC ON；0Lux with Light镜头:4mm,水平视场角89°;(6mm 水平视场角56°可选)景深范围: 4mm: 2.1m~∞; 6mm: 5.4m~∞宽动态范围:120dB视频压缩标准:H.265 / H.264 / MJPEG最大图像尺寸:1920 × 1080存储功能:支持Micro SD(即TF卡)/Micro SDHC/Micro SDXC卡(128G)断网本地存储及断网续传,NAS(NFS,SMB/CIFS均支持)工作温度和湿度 -30℃~60℃,湿度小于95%(无凝结)音频接口:1对音频输入(Line in)/输出外部接口报警输入:1路报警输出:1路(报警输出最大支持DC12V 30mA)电源供应:DC12V±25%电源接口类型:Φ5.5圆头电源接口功耗 :非PoE: 6W Max防护等级:IP67补光照射距离:暖光最远可达30米尺寸(mm) 220 x 114 x110重量 机身重量:900g带包装质量:1300g</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2</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pPr>
            <w:r>
              <w:rPr>
                <w:rFonts w:hint="eastAsia" w:ascii="宋体" w:hAnsi="宋体" w:eastAsia="宋体" w:cs="宋体"/>
                <w:sz w:val="24"/>
                <w:szCs w:val="24"/>
              </w:rPr>
              <w:t>网络摄像机(球机)</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E系列200万像素7寸混合补光网络高清智能球机】支持两种智能资源切换：人脸抓拍、smart事件支持人脸抓拍：支持对运动人脸进行检测、抓拍、评分、筛选，输出最优的人脸抓图，最多同时检测5张人脸。支持人脸抓拍场景手动选择，大场景监控和抓拍人脸灵活切换支持8个场景下的轮巡人脸抓拍，每个场景的时间可设smart事件：越界侦测,区域入侵侦测,进入/离开区域侦测,徘徊侦测,人员聚集侦测,快速运动侦测,停车侦测,物品遗留/拿取侦测图像传感器:1/2.8＂ progressive scan CMOS最低照度:彩色：0.002Lux @ (F1.2，AGC ON)；黑白：0.0001Lux @(F1.2，AGC ON) ；0 Lux with IR分辨率及帧率:主码流 50Hz:25fps (1920×1080); 60Hz: 30fps(1920×1080)视频压缩:H.265/H.264/MJPEG，H.264支持Baseline Profile/Main Profile/High Profile可见光照射距离:30米红外照射距离:150米焦距:4.8 - 110 mm, 23倍光学水平视角:58.4-2.8度(广角-望远)Smart图像增强:120dB超宽动态、透雾、强光抑制、电子防抖、Smart IR水平及垂直范围:水平360°；垂直-15°-90°（自动翻转）水平速度:水平键控速度：0.1°-160°/s,速度可设;水平预置点速度：240°/s垂直速度:垂直键控速度：0.1°-120°/s,速度可设;垂直预置点速度：200°/s支持萤石协议接入电源接口:AC24V网络接口:RJ45网口，自适应10M/100M网络数据音频输入/输出:1路音频输入；1路音频输出报警输入/输出:2路报警输入；1路报警输出SD卡接口:内置Micro SD卡插槽，支持Micro SD(即TF卡)/Micro SDHC/Micro SDXC卡（最大支持256G）功耗:40W max（其中红外灯15W max）工作温度和湿度:-30℃-65℃；湿度小于90%防护等级:IP66尺寸:Φ220×353.4mm 重量:4.5Kg</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3</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32路网络硬盘录像机（8盘位）</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pPr>
            <w:r>
              <w:rPr>
                <w:rFonts w:hint="eastAsia"/>
              </w:rPr>
              <w:t>硬件规格：2U标准机架式2个HDMI，2个VGA,HDMI+VGA组内同源8盘位，可满配6TB硬盘 2个千兆网口2个USB2.0接口、1个USB3.0接口1个eSATA接口支持RAID0、1、5、10，支持全局热备盘报警IO：16进4出（可选配8出）软件性能：输入带宽：320M32路H.264、H.265混合接入最大支持16×1080P解码支持H.265、H.264解码Smart 2.0/整机热备/ANR/智能检索/智能回放/车牌检索/人脸检索/热度图/客流量统计/分时段回放/超高倍速回放/双系统备份</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4</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监控专用盘存储硬盘</w:t>
            </w:r>
          </w:p>
          <w:p>
            <w:pPr>
              <w:pStyle w:val="12"/>
              <w:keepNext w:val="0"/>
              <w:keepLines w:val="0"/>
              <w:widowControl/>
              <w:suppressLineNumbers w:val="0"/>
              <w:spacing w:line="405" w:lineRule="atLeast"/>
              <w:jc w:val="center"/>
            </w:pP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pPr>
            <w:r>
              <w:rPr>
                <w:rFonts w:hint="eastAsia"/>
              </w:rPr>
              <w:t>6T，硬盘类型：监控专用盘运行周期：7*24小时转速：7200转</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lang w:val="en-US" w:eastAsia="zh-CN"/>
              </w:rPr>
              <w:t>块</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5</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default" w:eastAsia="宋体"/>
                <w:lang w:val="en-US" w:eastAsia="zh-CN"/>
              </w:rPr>
            </w:pPr>
            <w:r>
              <w:rPr>
                <w:rFonts w:hint="eastAsia" w:ascii="宋体" w:hAnsi="宋体" w:cs="宋体"/>
                <w:sz w:val="24"/>
                <w:szCs w:val="24"/>
                <w:lang w:eastAsia="zh-CN"/>
              </w:rPr>
              <w:t>24口千兆交换机</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pPr>
            <w:r>
              <w:rPr>
                <w:rFonts w:hint="eastAsia"/>
              </w:rPr>
              <w:t>二层网管交换机，交换容量192Gbps，包转发率42Mpps；24口10/100/1000M自适应电口交换机，固化2个10/100/1000M电口和2个SFP千兆光口；支持DHCP snooping、端口镜像、VLAN、ACL、端口隔离以及MACC云平台统一管理。</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台</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4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6</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eastAsia="宋体" w:cs="宋体"/>
                <w:sz w:val="24"/>
                <w:szCs w:val="24"/>
              </w:rPr>
              <w:t>无线网桥</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ind w:left="0" w:firstLine="0"/>
            </w:pPr>
            <w:r>
              <w:rPr>
                <w:rFonts w:hint="eastAsia" w:ascii="宋体" w:hAnsi="宋体" w:eastAsia="宋体" w:cs="宋体"/>
                <w:sz w:val="24"/>
                <w:szCs w:val="24"/>
              </w:rPr>
              <w:t>室外3Km单频5G无线网桥，最大桥接速率433Mbps，内置9dBi定向天线，支持拨码Web易网络APP三种灵活管理方式。24V PoE供电（标配PoE供电适配器，支持万向节安装）</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个</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7</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电源线</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RVV4*2.5电源线,国家标准GB/T5023.5-2008,导体使用多股裸铜线绞合</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米</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8</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五类线</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非屏蔽五类双绞线</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米</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9</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rPr>
              <w:t>PVC管</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rPr>
            </w:pPr>
            <w:r>
              <w:rPr>
                <w:rFonts w:hint="eastAsia"/>
              </w:rPr>
              <w:t>#20</w:t>
            </w:r>
          </w:p>
          <w:p>
            <w:pPr>
              <w:pStyle w:val="12"/>
              <w:keepNext w:val="0"/>
              <w:keepLines w:val="0"/>
              <w:widowControl/>
              <w:suppressLineNumbers w:val="0"/>
              <w:shd w:val="clear" w:color="auto" w:fill="FFFFFF"/>
              <w:spacing w:line="405" w:lineRule="atLeast"/>
              <w:ind w:left="0" w:firstLine="0"/>
              <w:jc w:val="left"/>
            </w:pP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cs="宋体"/>
                <w:sz w:val="24"/>
                <w:szCs w:val="24"/>
                <w:lang w:eastAsia="zh-CN"/>
              </w:rPr>
              <w:t>米</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10</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eastAsia="宋体"/>
                <w:lang w:eastAsia="zh-CN"/>
              </w:rPr>
              <w:t>网络机柜9U</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val="en-US" w:eastAsia="zh-CN"/>
              </w:rPr>
              <w:t>600*450*500</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个</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ascii="宋体" w:hAnsi="宋体" w:cs="宋体"/>
                <w:sz w:val="24"/>
                <w:szCs w:val="24"/>
                <w:lang w:eastAsia="zh-CN"/>
              </w:rPr>
              <w:t>配电箱</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default" w:eastAsia="宋体"/>
                <w:lang w:val="en-US" w:eastAsia="zh-CN"/>
              </w:rPr>
              <w:t>400*500*200</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个</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2</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val="en-US" w:eastAsia="zh-CN"/>
              </w:rPr>
              <w:t>监控专用杆（6米*110）</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eastAsia="zh-CN"/>
              </w:rPr>
              <w:t>140转89 3.0厚 横杆1.1米 60管 1.5厚</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val="en-US" w:eastAsia="zh-CN"/>
              </w:rPr>
            </w:pPr>
            <w:r>
              <w:rPr>
                <w:rFonts w:hint="eastAsia"/>
                <w:lang w:val="en-US" w:eastAsia="zh-CN"/>
              </w:rPr>
              <w:t>根</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3</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lang w:eastAsia="zh-CN"/>
              </w:rPr>
              <w:t>光缆</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lang w:eastAsia="zh-CN"/>
              </w:rPr>
              <w:t>国标</w:t>
            </w: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米</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cs="宋体"/>
                <w:sz w:val="24"/>
                <w:szCs w:val="24"/>
                <w:lang w:val="en-US" w:eastAsia="zh-CN"/>
              </w:rPr>
              <w:t>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4</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ascii="宋体" w:hAnsi="宋体" w:cs="宋体"/>
                <w:sz w:val="24"/>
                <w:szCs w:val="24"/>
                <w:lang w:eastAsia="zh-CN"/>
              </w:rPr>
              <w:t>光纤收发器</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pPr>
          </w:p>
        </w:tc>
        <w:tc>
          <w:tcPr>
            <w:tcW w:w="51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对</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w:t>
            </w:r>
          </w:p>
        </w:tc>
      </w:tr>
    </w:tbl>
    <w:p>
      <w:pPr>
        <w:rPr>
          <w:rFonts w:hint="eastAsia" w:eastAsiaTheme="minorEastAsia"/>
          <w:lang w:val="en-US" w:eastAsia="zh-CN"/>
        </w:rPr>
      </w:pPr>
    </w:p>
    <w:p>
      <w:r>
        <w:rPr>
          <w:rFonts w:hint="eastAsia"/>
        </w:rPr>
        <w:t>其他要求：</w:t>
      </w:r>
    </w:p>
    <w:tbl>
      <w:tblPr>
        <w:tblStyle w:val="13"/>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55"/>
        <w:gridCol w:w="65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67" w:hRule="atLeast"/>
          <w:tblHeade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项目</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(二)产品性能和功能：投标人需提供相关证明材料复印件，原件备查。</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1.所投产品支持安全加固系统软件，可以实现强制的访问控制、安全审计、安全防护、系统自我保护等功能，且拥有微软兼容性认证，提供微软兼容性认证证明文件。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2.所投产品出厂配套正式中文版服务器管理套件，支持操作系统无人值守自动安装，支持全方位硬件性能监控，提供软件著作权证书复印件。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3.所投产品出厂配套系统备份还原软件，能够实现Windows、Linux操作系统的本地及网络备份还原功能，支持USB移动硬盘备份设备，支持数据压缩、克隆技术，提供软件著作权证书复印件和软件功能界面截图。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4.所投品目号产品长期工作环境温度支持 ：0-40度或0-45度，提供官网截图。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5.所投品目号5、6产品具备安全防护功能， 配置U盘隔离器，能够实现将U盘内的规定文件通过U盘隔离器传输到PC ，当U盘插在U盘隔离器上时，在PC端只能访问U盘内规定的文件，能够隔离U盘内的所有病毒文件，U盘内的病毒文件不会通过U盘隔离器传输到PC上，且通过国家级信息安全检测机构检测并提供证明文件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6.所投品目号1-1、1-2、1-3、1-5、1-6、1-7产品在90%的信赖水准下可达到至少五年的MTBF(平均故障间隔时间)，提供第三方机构测试报告。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7.所投品目号1-1、1-2、1-3、1-5、1-6、1-7产品CPU、内存、IO性能、网络性能等因素的功能性和效率</w:t>
            </w:r>
            <w:r>
              <w:rPr>
                <w:rFonts w:hint="eastAsia" w:ascii="宋体" w:hAnsi="宋体" w:eastAsia="宋体" w:cs="宋体"/>
                <w:kern w:val="0"/>
                <w:sz w:val="24"/>
                <w:szCs w:val="24"/>
              </w:rPr>
              <w:t>，提供</w:t>
            </w:r>
            <w:r>
              <w:rPr>
                <w:rFonts w:ascii="宋体" w:hAnsi="宋体" w:eastAsia="宋体" w:cs="宋体"/>
                <w:kern w:val="0"/>
                <w:sz w:val="24"/>
                <w:szCs w:val="24"/>
              </w:rPr>
              <w:t>第三方机构出具的测试报告</w:t>
            </w:r>
            <w:r>
              <w:rPr>
                <w:rFonts w:hint="eastAsia" w:ascii="宋体" w:hAnsi="宋体" w:eastAsia="宋体" w:cs="宋体"/>
                <w:kern w:val="0"/>
                <w:sz w:val="24"/>
                <w:szCs w:val="24"/>
              </w:rPr>
              <w:t>。</w:t>
            </w:r>
          </w:p>
        </w:tc>
      </w:tr>
    </w:tbl>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jc w:val="center"/>
      </w:pPr>
      <w:bookmarkStart w:id="5" w:name="_Toc513644002"/>
      <w:r>
        <w:t>三、商务条件（以下内容不允许负偏离）</w:t>
      </w:r>
      <w:bookmarkEnd w:id="5"/>
    </w:p>
    <w:p>
      <w:pPr>
        <w:widowControl/>
        <w:shd w:val="clear" w:color="auto" w:fill="FFFFFF"/>
        <w:spacing w:line="360" w:lineRule="auto"/>
        <w:jc w:val="center"/>
        <w:rPr>
          <w:rFonts w:ascii="宋体" w:hAnsi="宋体" w:eastAsia="宋体" w:cs="宋体"/>
          <w:bCs/>
          <w:kern w:val="0"/>
          <w:sz w:val="24"/>
          <w:szCs w:val="24"/>
        </w:rPr>
      </w:pPr>
      <w:r>
        <w:rPr>
          <w:rFonts w:ascii="宋体" w:hAnsi="宋体" w:eastAsia="宋体" w:cs="宋体"/>
          <w:bCs/>
          <w:kern w:val="0"/>
          <w:sz w:val="24"/>
          <w:szCs w:val="24"/>
        </w:rPr>
        <w:t>包：1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项目</w:t>
            </w:r>
          </w:p>
        </w:tc>
        <w:tc>
          <w:tcPr>
            <w:tcW w:w="6681" w:type="dxa"/>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产品厂商的资质、供货及履约能力1.</w:t>
            </w:r>
          </w:p>
        </w:tc>
        <w:tc>
          <w:tcPr>
            <w:tcW w:w="6681" w:type="dxa"/>
          </w:tcPr>
          <w:p>
            <w:pPr>
              <w:widowControl/>
              <w:jc w:val="center"/>
              <w:rPr>
                <w:rFonts w:ascii="宋体" w:hAnsi="宋体" w:eastAsia="宋体" w:cs="宋体"/>
                <w:kern w:val="0"/>
                <w:sz w:val="24"/>
                <w:szCs w:val="24"/>
              </w:rPr>
            </w:pPr>
            <w:r>
              <w:rPr>
                <w:rFonts w:ascii="宋体" w:hAnsi="宋体" w:eastAsia="宋体" w:cs="宋体"/>
                <w:kern w:val="0"/>
                <w:sz w:val="24"/>
                <w:szCs w:val="24"/>
              </w:rPr>
              <w:t>所投产品厂商具备强大的自主技术创新、科技研发能力，获得国家级部门颁发的科学技术进步一等奖证书，</w:t>
            </w:r>
            <w:r>
              <w:rPr>
                <w:rFonts w:hint="eastAsia" w:ascii="宋体" w:hAnsi="宋体" w:eastAsia="宋体" w:cs="宋体"/>
                <w:kern w:val="0"/>
                <w:sz w:val="24"/>
                <w:szCs w:val="24"/>
              </w:rPr>
              <w:t>并</w:t>
            </w:r>
            <w:r>
              <w:rPr>
                <w:rFonts w:ascii="宋体" w:hAnsi="宋体" w:eastAsia="宋体" w:cs="宋体"/>
                <w:kern w:val="0"/>
                <w:sz w:val="24"/>
                <w:szCs w:val="24"/>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center"/>
              <w:rPr>
                <w:rFonts w:ascii="宋体" w:hAnsi="宋体" w:eastAsia="宋体" w:cs="宋体"/>
                <w:kern w:val="0"/>
                <w:sz w:val="24"/>
                <w:szCs w:val="24"/>
              </w:rPr>
            </w:pPr>
            <w:r>
              <w:rPr>
                <w:rFonts w:ascii="宋体" w:hAnsi="宋体" w:eastAsia="宋体" w:cs="宋体"/>
                <w:kern w:val="0"/>
                <w:sz w:val="24"/>
                <w:szCs w:val="24"/>
              </w:rPr>
              <w:t>所投产品厂商获得ISO 9000系列质量管理认证、ISO 14000系列环境体系认证、ISO 20000 IT服务管理体系认证、ISO 27001 信息安全管理体系认证，需提供证明文件。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center"/>
              <w:rPr>
                <w:rFonts w:ascii="宋体" w:hAnsi="宋体" w:eastAsia="宋体" w:cs="宋体"/>
                <w:kern w:val="0"/>
                <w:sz w:val="24"/>
                <w:szCs w:val="24"/>
              </w:rPr>
            </w:pPr>
            <w:r>
              <w:rPr>
                <w:rFonts w:ascii="宋体" w:hAnsi="宋体" w:eastAsia="宋体" w:cs="宋体"/>
                <w:kern w:val="0"/>
                <w:sz w:val="24"/>
                <w:szCs w:val="24"/>
              </w:rPr>
              <w:t>所投产品厂商具有良好的技术实力，拥有国家高效能服务器和存储技术重点实验室，并提供证明文件。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6681" w:type="dxa"/>
          </w:tcPr>
          <w:p>
            <w:pPr>
              <w:widowControl/>
              <w:jc w:val="center"/>
              <w:rPr>
                <w:rFonts w:ascii="宋体" w:hAnsi="宋体" w:eastAsia="宋体" w:cs="宋体"/>
                <w:kern w:val="0"/>
                <w:sz w:val="24"/>
                <w:szCs w:val="24"/>
              </w:rPr>
            </w:pPr>
            <w:r>
              <w:rPr>
                <w:rFonts w:ascii="宋体" w:hAnsi="宋体" w:eastAsia="宋体" w:cs="宋体"/>
                <w:kern w:val="0"/>
                <w:sz w:val="24"/>
                <w:szCs w:val="24"/>
              </w:rPr>
              <w:t>所投产品厂商具有良好的技术研究能力，拥有国家信息存储工程技术研究中心，并提供证明文件。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售后服务情况1.</w:t>
            </w:r>
          </w:p>
        </w:tc>
        <w:tc>
          <w:tcPr>
            <w:tcW w:w="6681" w:type="dxa"/>
          </w:tcPr>
          <w:p>
            <w:pPr>
              <w:widowControl/>
              <w:jc w:val="center"/>
              <w:rPr>
                <w:rFonts w:ascii="宋体" w:hAnsi="宋体" w:eastAsia="宋体" w:cs="宋体"/>
                <w:kern w:val="0"/>
                <w:sz w:val="24"/>
                <w:szCs w:val="24"/>
              </w:rPr>
            </w:pPr>
            <w:r>
              <w:rPr>
                <w:rFonts w:ascii="宋体" w:hAnsi="宋体" w:eastAsia="宋体" w:cs="宋体"/>
                <w:kern w:val="0"/>
                <w:sz w:val="24"/>
                <w:szCs w:val="24"/>
              </w:rPr>
              <w:t>所投产品能提供厂商原产工程师免费上门服务并提供售后服务承诺函原件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center"/>
              <w:rPr>
                <w:rFonts w:ascii="宋体" w:hAnsi="宋体" w:eastAsia="宋体" w:cs="宋体"/>
                <w:kern w:val="0"/>
                <w:sz w:val="24"/>
                <w:szCs w:val="24"/>
              </w:rPr>
            </w:pPr>
            <w:r>
              <w:rPr>
                <w:rFonts w:ascii="宋体" w:hAnsi="宋体" w:eastAsia="宋体" w:cs="宋体"/>
                <w:kern w:val="0"/>
                <w:sz w:val="24"/>
                <w:szCs w:val="24"/>
              </w:rPr>
              <w:t>为确保项目正常运行，对于投标人要求售后服务有本地保障能力：投标人或其分支机构设在项目所在地，并年限3年以上的（提供营业执照复印件）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提供</w:t>
            </w:r>
            <w:r>
              <w:rPr>
                <w:rFonts w:ascii="宋体" w:hAnsi="宋体" w:eastAsia="宋体" w:cs="宋体"/>
                <w:kern w:val="0"/>
                <w:sz w:val="24"/>
                <w:szCs w:val="24"/>
              </w:rPr>
              <w:t>投标产品厂家质保期的长短、保修范围、提供免费配件，故障响应时间等的情况</w:t>
            </w:r>
            <w:r>
              <w:rPr>
                <w:rFonts w:hint="eastAsia" w:ascii="宋体" w:hAnsi="宋体" w:eastAsia="宋体" w:cs="宋体"/>
                <w:kern w:val="0"/>
                <w:sz w:val="24"/>
                <w:szCs w:val="24"/>
              </w:rPr>
              <w:t>具体说明。</w:t>
            </w:r>
          </w:p>
        </w:tc>
      </w:tr>
    </w:tbl>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hint="eastAsia" w:ascii="宋体" w:hAnsi="宋体" w:eastAsia="宋体" w:cs="宋体"/>
          <w:bCs/>
          <w:kern w:val="0"/>
          <w:sz w:val="24"/>
          <w:szCs w:val="24"/>
          <w:lang w:val="en-US" w:eastAsia="zh-CN"/>
        </w:rPr>
      </w:pPr>
      <w:r>
        <w:rPr>
          <w:rFonts w:ascii="宋体" w:hAnsi="宋体" w:eastAsia="宋体" w:cs="宋体"/>
          <w:bCs/>
          <w:kern w:val="0"/>
          <w:sz w:val="24"/>
          <w:szCs w:val="24"/>
        </w:rPr>
        <w:t>1、交付地点：</w:t>
      </w:r>
      <w:r>
        <w:rPr>
          <w:rFonts w:hint="eastAsia" w:ascii="宋体" w:hAnsi="宋体" w:eastAsia="宋体" w:cs="宋体"/>
          <w:bCs/>
          <w:kern w:val="0"/>
          <w:sz w:val="24"/>
          <w:szCs w:val="24"/>
          <w:lang w:eastAsia="zh-CN"/>
        </w:rPr>
        <w:t>建宁县濉溪镇高峰村</w:t>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bCs/>
          <w:kern w:val="0"/>
          <w:sz w:val="24"/>
          <w:szCs w:val="24"/>
        </w:rPr>
        <w:t>2、交付时间：</w:t>
      </w:r>
      <w:r>
        <w:rPr>
          <w:rFonts w:hint="eastAsia" w:ascii="宋体" w:hAnsi="宋体" w:eastAsia="宋体" w:cs="宋体"/>
          <w:bCs/>
          <w:kern w:val="0"/>
          <w:sz w:val="24"/>
          <w:szCs w:val="24"/>
        </w:rPr>
        <w:t>合同签定生效后</w:t>
      </w:r>
      <w:r>
        <w:rPr>
          <w:rFonts w:ascii="宋体" w:hAnsi="宋体" w:eastAsia="宋体" w:cs="宋体"/>
          <w:bCs/>
          <w:kern w:val="0"/>
          <w:sz w:val="24"/>
          <w:szCs w:val="24"/>
        </w:rPr>
        <w:t>1个月内安装调试完毕验收合格交付使用。</w:t>
      </w:r>
      <w:r>
        <w:rPr>
          <w:rFonts w:ascii="宋体" w:hAnsi="宋体" w:eastAsia="宋体" w:cs="宋体"/>
          <w:bCs/>
          <w:kern w:val="0"/>
          <w:sz w:val="24"/>
          <w:szCs w:val="24"/>
        </w:rPr>
        <w:br w:type="textWrapping"/>
      </w:r>
      <w:r>
        <w:rPr>
          <w:rFonts w:ascii="宋体" w:hAnsi="宋体" w:eastAsia="宋体" w:cs="宋体"/>
          <w:bCs/>
          <w:kern w:val="0"/>
          <w:sz w:val="24"/>
          <w:szCs w:val="24"/>
        </w:rPr>
        <w:t>3、交付条件：</w:t>
      </w:r>
      <w:r>
        <w:rPr>
          <w:rFonts w:hint="eastAsia" w:ascii="宋体" w:hAnsi="宋体" w:eastAsia="宋体" w:cs="宋体"/>
          <w:bCs/>
          <w:kern w:val="0"/>
          <w:sz w:val="24"/>
          <w:szCs w:val="24"/>
        </w:rPr>
        <w:t>合同签定生效后</w:t>
      </w:r>
      <w:r>
        <w:rPr>
          <w:rFonts w:ascii="宋体" w:hAnsi="宋体" w:eastAsia="宋体" w:cs="宋体"/>
          <w:bCs/>
          <w:kern w:val="0"/>
          <w:sz w:val="24"/>
          <w:szCs w:val="24"/>
        </w:rPr>
        <w:t>1个月内安装调试完毕验收合格交付使用。</w:t>
      </w:r>
      <w:r>
        <w:rPr>
          <w:rFonts w:ascii="宋体" w:hAnsi="宋体" w:eastAsia="宋体" w:cs="宋体"/>
          <w:bCs/>
          <w:kern w:val="0"/>
          <w:sz w:val="24"/>
          <w:szCs w:val="24"/>
        </w:rPr>
        <w:br w:type="textWrapping"/>
      </w:r>
      <w:r>
        <w:rPr>
          <w:rFonts w:ascii="宋体" w:hAnsi="宋体" w:eastAsia="宋体" w:cs="宋体"/>
          <w:bCs/>
          <w:kern w:val="0"/>
          <w:sz w:val="24"/>
          <w:szCs w:val="24"/>
        </w:rPr>
        <w:t>4、是否收取履约保证金：否</w:t>
      </w:r>
      <w:r>
        <w:rPr>
          <w:rFonts w:ascii="宋体" w:hAnsi="宋体" w:eastAsia="宋体" w:cs="宋体"/>
          <w:bCs/>
          <w:kern w:val="0"/>
          <w:sz w:val="24"/>
          <w:szCs w:val="24"/>
        </w:rPr>
        <w:br w:type="textWrapping"/>
      </w:r>
      <w:r>
        <w:rPr>
          <w:rFonts w:ascii="宋体" w:hAnsi="宋体" w:eastAsia="宋体" w:cs="宋体"/>
          <w:bCs/>
          <w:kern w:val="0"/>
          <w:sz w:val="24"/>
          <w:szCs w:val="24"/>
        </w:rPr>
        <w:t>5、是否邀请投标人参与验收：否</w:t>
      </w:r>
      <w:r>
        <w:rPr>
          <w:rFonts w:ascii="宋体" w:hAnsi="宋体" w:eastAsia="宋体" w:cs="宋体"/>
          <w:bCs/>
          <w:kern w:val="0"/>
          <w:sz w:val="24"/>
          <w:szCs w:val="24"/>
        </w:rPr>
        <w:br w:type="textWrapping"/>
      </w:r>
      <w:r>
        <w:rPr>
          <w:rFonts w:ascii="宋体" w:hAnsi="宋体" w:eastAsia="宋体" w:cs="宋体"/>
          <w:bCs/>
          <w:kern w:val="0"/>
          <w:sz w:val="24"/>
          <w:szCs w:val="24"/>
        </w:rPr>
        <w:t>6、验收方式数据表格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由使用部门按照招标文件要求进行验收</w:t>
            </w:r>
          </w:p>
        </w:tc>
      </w:tr>
    </w:tbl>
    <w:p>
      <w:pPr>
        <w:widowControl/>
        <w:shd w:val="clear" w:color="auto" w:fill="FFFFFF"/>
        <w:spacing w:line="360" w:lineRule="auto"/>
        <w:jc w:val="center"/>
        <w:rPr>
          <w:rFonts w:ascii="宋体" w:hAnsi="宋体" w:eastAsia="宋体" w:cs="宋体"/>
          <w:bCs/>
          <w:kern w:val="0"/>
          <w:sz w:val="24"/>
          <w:szCs w:val="24"/>
        </w:rPr>
      </w:pPr>
      <w:r>
        <w:rPr>
          <w:rFonts w:ascii="宋体" w:hAnsi="宋体" w:eastAsia="宋体" w:cs="宋体"/>
          <w:bCs/>
          <w:kern w:val="0"/>
          <w:sz w:val="24"/>
          <w:szCs w:val="24"/>
        </w:rPr>
        <w:t>7、支付方式数据表格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支付比例(%)</w:t>
            </w: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bookmarkStart w:id="15" w:name="_GoBack" w:colFirst="0" w:colLast="2"/>
            <w:r>
              <w:rPr>
                <w:rFonts w:hint="eastAsia" w:ascii="宋体" w:hAnsi="宋体" w:eastAsia="宋体" w:cs="宋体"/>
                <w:kern w:val="0"/>
                <w:sz w:val="24"/>
                <w:szCs w:val="24"/>
              </w:rPr>
              <w:t>2</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95</w:t>
            </w:r>
            <w:r>
              <w:rPr>
                <w:rFonts w:hint="eastAsia" w:ascii="宋体" w:hAnsi="宋体" w:eastAsia="宋体" w:cs="宋体"/>
                <w:kern w:val="0"/>
                <w:sz w:val="24"/>
                <w:szCs w:val="24"/>
              </w:rPr>
              <w:t>%</w:t>
            </w:r>
          </w:p>
        </w:tc>
        <w:tc>
          <w:tcPr>
            <w:tcW w:w="4994" w:type="dxa"/>
            <w:tcBorders>
              <w:top w:val="outset" w:color="auto" w:sz="6" w:space="0"/>
              <w:left w:val="outset" w:color="auto" w:sz="6" w:space="0"/>
              <w:bottom w:val="outset" w:color="auto" w:sz="6" w:space="0"/>
              <w:right w:val="outset" w:color="auto" w:sz="6" w:space="0"/>
            </w:tcBorders>
          </w:tcPr>
          <w:p>
            <w:pPr>
              <w:jc w:val="center"/>
              <w:rPr>
                <w:rFonts w:hint="eastAsia" w:ascii="宋体" w:hAnsi="宋体" w:eastAsia="宋体" w:cs="宋体"/>
                <w:spacing w:val="17"/>
                <w:sz w:val="24"/>
                <w:szCs w:val="24"/>
              </w:rPr>
            </w:pPr>
            <w:r>
              <w:rPr>
                <w:rFonts w:hint="eastAsia" w:ascii="宋体" w:hAnsi="宋体" w:eastAsia="宋体" w:cs="宋体"/>
                <w:spacing w:val="17"/>
                <w:sz w:val="24"/>
                <w:szCs w:val="24"/>
                <w:lang w:val="en-US" w:eastAsia="zh-CN"/>
              </w:rPr>
              <w:t>在规定工期内按工程要求，保质保量完成安装、调试、验收后付总金额的95%，剩余的5%作为质量保证金在满一年后无质量问题一次性付清。</w:t>
            </w:r>
          </w:p>
          <w:p>
            <w:pPr>
              <w:widowControl/>
              <w:spacing w:line="360" w:lineRule="auto"/>
              <w:jc w:val="center"/>
              <w:rPr>
                <w:rFonts w:ascii="宋体" w:hAnsi="宋体" w:eastAsia="宋体" w:cs="宋体"/>
                <w:kern w:val="0"/>
                <w:sz w:val="24"/>
                <w:szCs w:val="24"/>
              </w:rPr>
            </w:pPr>
          </w:p>
        </w:tc>
      </w:tr>
      <w:bookmarkEnd w:id="15"/>
    </w:tbl>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br w:type="textWrapping"/>
      </w:r>
    </w:p>
    <w:p>
      <w:pPr>
        <w:widowControl/>
        <w:jc w:val="left"/>
        <w:rPr>
          <w:rFonts w:ascii="宋体" w:hAnsi="宋体" w:eastAsia="宋体" w:cs="宋体"/>
          <w:b/>
          <w:bCs/>
          <w:kern w:val="36"/>
          <w:sz w:val="48"/>
          <w:szCs w:val="48"/>
        </w:rPr>
      </w:pPr>
      <w:r>
        <w:br w:type="page"/>
      </w:r>
    </w:p>
    <w:p>
      <w:pPr>
        <w:pStyle w:val="2"/>
      </w:pPr>
      <w:bookmarkStart w:id="6" w:name="_Toc513644003"/>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513644004"/>
      <w:r>
        <w:rPr>
          <w:rFonts w:cs="Calibri"/>
        </w:rPr>
        <w:t>一</w:t>
      </w:r>
      <w:r>
        <w:t>、投标函</w:t>
      </w:r>
      <w:bookmarkEnd w:id="7"/>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513644005"/>
      <w:r>
        <w:rPr>
          <w:rFonts w:hint="eastAsia"/>
        </w:rPr>
        <w:t>二</w:t>
      </w:r>
      <w:r>
        <w:t>、报价表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3"/>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513644006"/>
      <w:r>
        <w:rPr>
          <w:rFonts w:hint="eastAsia"/>
        </w:rPr>
        <w:t>三、资格证明文件</w:t>
      </w:r>
      <w:bookmarkEnd w:id="9"/>
    </w:p>
    <w:p>
      <w:pPr>
        <w:pStyle w:val="4"/>
      </w:pPr>
      <w:bookmarkStart w:id="10" w:name="_Toc513644007"/>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51364400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513644009"/>
      <w:r>
        <w:rPr>
          <w:rFonts w:hint="eastAsia"/>
        </w:rPr>
        <w:t>四</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513644010"/>
      <w:r>
        <w:rPr>
          <w:rFonts w:hint="eastAsia"/>
        </w:rPr>
        <w:t>五</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513644011"/>
      <w:r>
        <w:rPr>
          <w:rFonts w:hint="eastAsia"/>
        </w:rPr>
        <w:t>六</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FF0000"/>
          <w:kern w:val="0"/>
          <w:sz w:val="24"/>
          <w:szCs w:val="24"/>
          <w:highlight w:val="yellow"/>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highlight w:val="yellow"/>
        </w:rPr>
        <w:t>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821CA"/>
    <w:rsid w:val="005B4772"/>
    <w:rsid w:val="005D5D8E"/>
    <w:rsid w:val="005E7B4D"/>
    <w:rsid w:val="005E7BAB"/>
    <w:rsid w:val="005F3FFD"/>
    <w:rsid w:val="0060325D"/>
    <w:rsid w:val="0062243F"/>
    <w:rsid w:val="0066787A"/>
    <w:rsid w:val="00691F96"/>
    <w:rsid w:val="006966E6"/>
    <w:rsid w:val="006A148F"/>
    <w:rsid w:val="006C5043"/>
    <w:rsid w:val="007064F2"/>
    <w:rsid w:val="007156DD"/>
    <w:rsid w:val="007248C4"/>
    <w:rsid w:val="00734B3B"/>
    <w:rsid w:val="00740EC3"/>
    <w:rsid w:val="00793D48"/>
    <w:rsid w:val="007A5574"/>
    <w:rsid w:val="007C386F"/>
    <w:rsid w:val="007C3B30"/>
    <w:rsid w:val="007E218F"/>
    <w:rsid w:val="007F23C2"/>
    <w:rsid w:val="0080797A"/>
    <w:rsid w:val="00813FFE"/>
    <w:rsid w:val="00822B80"/>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5CE4"/>
    <w:rsid w:val="00CB665C"/>
    <w:rsid w:val="00CC50FA"/>
    <w:rsid w:val="00CD67F8"/>
    <w:rsid w:val="00D02B6F"/>
    <w:rsid w:val="00D534B4"/>
    <w:rsid w:val="00D9797B"/>
    <w:rsid w:val="00DA7C03"/>
    <w:rsid w:val="00DB7483"/>
    <w:rsid w:val="00E46A5A"/>
    <w:rsid w:val="00E541A9"/>
    <w:rsid w:val="00E56762"/>
    <w:rsid w:val="00E86EA0"/>
    <w:rsid w:val="00E87A1D"/>
    <w:rsid w:val="00ED3E3A"/>
    <w:rsid w:val="00F37F85"/>
    <w:rsid w:val="00F462D3"/>
    <w:rsid w:val="00F50C66"/>
    <w:rsid w:val="00F8124F"/>
    <w:rsid w:val="00F955FD"/>
    <w:rsid w:val="00FD5165"/>
    <w:rsid w:val="00FF3404"/>
    <w:rsid w:val="02697150"/>
    <w:rsid w:val="0ADA159E"/>
    <w:rsid w:val="142E19A1"/>
    <w:rsid w:val="224712FB"/>
    <w:rsid w:val="24856C53"/>
    <w:rsid w:val="29D17309"/>
    <w:rsid w:val="2F3D12FB"/>
    <w:rsid w:val="3BBD0F78"/>
    <w:rsid w:val="40A03AB0"/>
    <w:rsid w:val="4CBA61B6"/>
    <w:rsid w:val="785D5C80"/>
    <w:rsid w:val="7C50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footer"/>
    <w:basedOn w:val="1"/>
    <w:link w:val="211"/>
    <w:unhideWhenUsed/>
    <w:qFormat/>
    <w:uiPriority w:val="99"/>
    <w:pPr>
      <w:tabs>
        <w:tab w:val="center" w:pos="4153"/>
        <w:tab w:val="right" w:pos="8306"/>
      </w:tabs>
      <w:snapToGrid w:val="0"/>
      <w:jc w:val="left"/>
    </w:pPr>
    <w:rPr>
      <w:sz w:val="18"/>
      <w:szCs w:val="18"/>
    </w:rPr>
  </w:style>
  <w:style w:type="paragraph" w:styleId="8">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2">
    <w:name w:val="Normal (Web)"/>
    <w:basedOn w:val="1"/>
    <w:unhideWhenUsed/>
    <w:qFormat/>
    <w:uiPriority w:val="99"/>
    <w:pPr>
      <w:widowControl/>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1"/>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8"/>
    <w:qFormat/>
    <w:uiPriority w:val="99"/>
    <w:rPr>
      <w:sz w:val="18"/>
      <w:szCs w:val="18"/>
    </w:rPr>
  </w:style>
  <w:style w:type="character" w:customStyle="1" w:styleId="211">
    <w:name w:val="页脚 字符"/>
    <w:basedOn w:val="15"/>
    <w:link w:val="7"/>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datastoreItem>
</file>

<file path=docProps/app.xml><?xml version="1.0" encoding="utf-8"?>
<Properties xmlns="http://schemas.openxmlformats.org/officeDocument/2006/extended-properties" xmlns:vt="http://schemas.openxmlformats.org/officeDocument/2006/docPropsVTypes">
  <Template>Normal</Template>
  <Pages>18</Pages>
  <Words>1177</Words>
  <Characters>6714</Characters>
  <Lines>55</Lines>
  <Paragraphs>15</Paragraphs>
  <TotalTime>6</TotalTime>
  <ScaleCrop>false</ScaleCrop>
  <LinksUpToDate>false</LinksUpToDate>
  <CharactersWithSpaces>7876</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GDWL-yxb-2</cp:lastModifiedBy>
  <dcterms:modified xsi:type="dcterms:W3CDTF">2019-12-28T11:08:29Z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